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2342" w14:textId="77777777" w:rsidR="00523868" w:rsidRPr="007126FF" w:rsidRDefault="00523868" w:rsidP="00523868">
      <w:pPr>
        <w:jc w:val="center"/>
        <w:rPr>
          <w:bCs/>
        </w:rPr>
      </w:pPr>
      <w:r w:rsidRPr="007126FF">
        <w:rPr>
          <w:bCs/>
        </w:rPr>
        <w:t>ДОГОВОР ЭНЕРГОСНАБЖЕНИЯ</w:t>
      </w:r>
    </w:p>
    <w:p w14:paraId="5088289C" w14:textId="77777777" w:rsidR="007126FF" w:rsidRPr="007126FF" w:rsidRDefault="00523868" w:rsidP="00523868">
      <w:pPr>
        <w:jc w:val="center"/>
        <w:rPr>
          <w:bCs/>
        </w:rPr>
      </w:pPr>
      <w:r w:rsidRPr="007126FF">
        <w:rPr>
          <w:bCs/>
        </w:rPr>
        <w:t xml:space="preserve">ДЛЯ КАТЕГОРИИ ПОТРЕБИТЕЛЕЙ, </w:t>
      </w:r>
    </w:p>
    <w:p w14:paraId="55BE7CD5" w14:textId="3EACAA84" w:rsidR="00523868" w:rsidRPr="007126FF" w:rsidRDefault="00523868" w:rsidP="00523868">
      <w:pPr>
        <w:jc w:val="center"/>
        <w:rPr>
          <w:bCs/>
        </w:rPr>
      </w:pPr>
      <w:r w:rsidRPr="007126FF">
        <w:rPr>
          <w:bCs/>
        </w:rPr>
        <w:t xml:space="preserve">ПРИРАВНЕННЫХ К КАТЕГОРИИ ПОТРЕБИТЕЛЕЙ «НАСЕЛЕНИЕ» № </w:t>
      </w:r>
    </w:p>
    <w:p w14:paraId="61DF75DB" w14:textId="77777777" w:rsidR="00E5577C" w:rsidRPr="00D960D6" w:rsidRDefault="00E5577C" w:rsidP="00A939B7"/>
    <w:p w14:paraId="54B949EB" w14:textId="07EE0395"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proofErr w:type="gramStart"/>
      <w:r w:rsidR="00BC3B32">
        <w:tab/>
      </w:r>
      <w:r w:rsidRPr="00D960D6">
        <w:t>«</w:t>
      </w:r>
      <w:proofErr w:type="gramEnd"/>
      <w:r w:rsidRPr="00D960D6">
        <w:t>____»</w:t>
      </w:r>
      <w:r w:rsidR="00567991" w:rsidRPr="00D960D6">
        <w:t>___________</w:t>
      </w:r>
      <w:r w:rsidRPr="00D960D6">
        <w:rPr>
          <w:u w:val="single"/>
        </w:rPr>
        <w:t>20</w:t>
      </w:r>
      <w:r w:rsidRPr="00D960D6">
        <w:t>___ г.</w:t>
      </w:r>
    </w:p>
    <w:p w14:paraId="6355A3C5" w14:textId="77777777" w:rsidR="00E5577C" w:rsidRPr="00D960D6" w:rsidRDefault="00E5577C" w:rsidP="00A939B7"/>
    <w:p w14:paraId="6778AFE1" w14:textId="77777777" w:rsidR="00E5577C" w:rsidRPr="00A939B7" w:rsidRDefault="00E5577C" w:rsidP="00A939B7">
      <w:r w:rsidRPr="00A939B7">
        <w:t xml:space="preserve">Мы, нижеподписавшиеся, Акционерное общество «Барнаульская </w:t>
      </w:r>
      <w:proofErr w:type="spellStart"/>
      <w:r w:rsidRPr="00A939B7">
        <w:t>горэлектросеть</w:t>
      </w:r>
      <w:proofErr w:type="spellEnd"/>
      <w:r w:rsidRPr="00A939B7">
        <w:t>», именуемое в дальнейшем «</w:t>
      </w:r>
      <w:proofErr w:type="spellStart"/>
      <w:r w:rsidRPr="00A939B7">
        <w:t>Энергоснабжающая</w:t>
      </w:r>
      <w:proofErr w:type="spellEnd"/>
      <w:r w:rsidRPr="00A939B7">
        <w:t xml:space="preserve">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xml:space="preserve">, с одной стороны, и _____________________________________________________, именуемое в дальнейшем «Абонент»,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77777777"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w:t>
      </w:r>
      <w:r w:rsidR="00810AB3" w:rsidRPr="006757E5">
        <w:t>Абоненту</w:t>
      </w:r>
      <w:r w:rsidRPr="006757E5">
        <w:t>, а Абонент обязуется принимать и оплачивать приобретаемую электрическую энергию (мощность) и оказанные услуги.</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77777777" w:rsidR="0045372A" w:rsidRPr="0045372A" w:rsidRDefault="0045372A" w:rsidP="00BD5D84">
      <w:pPr>
        <w:pStyle w:val="2"/>
      </w:pPr>
      <w:r w:rsidRPr="0045372A">
        <w:t>ЭСО подает электроэнергию (мощность) Абоненту в пределах максимальной мощности и договорных величин потребления энергии (мощности).</w:t>
      </w:r>
    </w:p>
    <w:p w14:paraId="1A1045CC" w14:textId="77777777" w:rsidR="0045372A" w:rsidRPr="0045372A" w:rsidRDefault="0045372A" w:rsidP="00BD5D84">
      <w:pPr>
        <w:pStyle w:val="2"/>
      </w:pPr>
      <w:r w:rsidRPr="0045372A">
        <w:t xml:space="preserve">Договорные величины поставляемой ЭСО Абоненту энергии в календарном году с детализацией по календарным месяцам, величина максимальной мощности </w:t>
      </w:r>
      <w:proofErr w:type="spellStart"/>
      <w:r w:rsidRPr="0045372A">
        <w:t>энергопринимающих</w:t>
      </w:r>
      <w:proofErr w:type="spellEnd"/>
      <w:r w:rsidRPr="0045372A">
        <w:t xml:space="preserve">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1 к договору. </w:t>
      </w:r>
    </w:p>
    <w:p w14:paraId="7D525A8E" w14:textId="77777777" w:rsidR="0045372A" w:rsidRPr="0045372A" w:rsidRDefault="0045372A" w:rsidP="00BD5D84">
      <w:pPr>
        <w:pStyle w:val="2"/>
      </w:pPr>
      <w:r w:rsidRPr="0045372A">
        <w:t>ЭСО и Абонент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77777777" w:rsidR="0045372A" w:rsidRPr="0045372A" w:rsidRDefault="0045372A" w:rsidP="00BD5D84">
      <w:pPr>
        <w:pStyle w:val="2"/>
      </w:pPr>
      <w:r w:rsidRPr="0045372A">
        <w:t>Абонент обязан соблюдать значение соотношения потребления активной и реактивной мощности (</w:t>
      </w:r>
      <w:proofErr w:type="spellStart"/>
      <w:r w:rsidRPr="0045372A">
        <w:t>tgφ</w:t>
      </w:r>
      <w:proofErr w:type="spellEnd"/>
      <w:r w:rsidRPr="0045372A">
        <w:t xml:space="preserve">)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Абонентов </w:t>
      </w:r>
    </w:p>
    <w:p w14:paraId="61E532ED" w14:textId="77777777" w:rsidR="0045372A" w:rsidRPr="0045372A" w:rsidRDefault="0045372A" w:rsidP="00A939B7">
      <w:pPr>
        <w:pStyle w:val="a"/>
      </w:pPr>
      <w:r w:rsidRPr="0045372A">
        <w:t xml:space="preserve">напряжением 6-20кВ - </w:t>
      </w:r>
      <w:proofErr w:type="spellStart"/>
      <w:r w:rsidRPr="0045372A">
        <w:t>tgφ</w:t>
      </w:r>
      <w:proofErr w:type="spellEnd"/>
      <w:r w:rsidRPr="0045372A">
        <w:t>=0,4;</w:t>
      </w:r>
    </w:p>
    <w:p w14:paraId="30DF9726" w14:textId="77777777" w:rsidR="0045372A" w:rsidRPr="0045372A" w:rsidRDefault="0045372A" w:rsidP="00A939B7">
      <w:pPr>
        <w:pStyle w:val="a"/>
      </w:pPr>
      <w:r w:rsidRPr="0045372A">
        <w:t xml:space="preserve">напряжением 0,4кВ - </w:t>
      </w:r>
      <w:proofErr w:type="spellStart"/>
      <w:r w:rsidRPr="0045372A">
        <w:t>tg</w:t>
      </w:r>
      <w:proofErr w:type="spellEnd"/>
      <w:r w:rsidRPr="0045372A">
        <w:t xml:space="preserve">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t xml:space="preserve">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lastRenderedPageBreak/>
        <w:t>(</w:t>
      </w:r>
      <w:r w:rsidRPr="00D960D6">
        <w:rPr>
          <w:bCs/>
        </w:rPr>
        <w:t>ви</w:t>
      </w:r>
      <w:r w:rsidRPr="00D960D6">
        <w:t xml:space="preserve">зуальный осмотр схемы подключения </w:t>
      </w:r>
      <w:proofErr w:type="spellStart"/>
      <w:r w:rsidRPr="00D960D6">
        <w:t>энергопринимающих</w:t>
      </w:r>
      <w:proofErr w:type="spellEnd"/>
      <w:r w:rsidRPr="00D960D6">
        <w:t xml:space="preserve">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w:t>
      </w:r>
      <w:proofErr w:type="spellStart"/>
      <w:r w:rsidRPr="00D960D6">
        <w:t>поверителя</w:t>
      </w:r>
      <w:proofErr w:type="spellEnd"/>
      <w:r w:rsidRPr="00D960D6">
        <w:t xml:space="preserve">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77777777"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10AB3">
        <w:t>Абонента</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1D8F8285" w:rsidR="00284649" w:rsidRPr="00D960D6" w:rsidRDefault="00284649" w:rsidP="00A939B7">
      <w:pPr>
        <w:pStyle w:val="3"/>
      </w:pPr>
      <w:bookmarkStart w:id="0" w:name="_Ref44539649"/>
      <w:r w:rsidRPr="00D960D6">
        <w:t>урегулировать в интересах Абонента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Абонента, в соответствии с правилами, установленными законодательством Российской Федерации.</w:t>
      </w:r>
      <w:bookmarkEnd w:id="0"/>
    </w:p>
    <w:p w14:paraId="720775A7" w14:textId="77777777" w:rsidR="0096605B" w:rsidRPr="00D960D6" w:rsidRDefault="0096605B" w:rsidP="00A939B7">
      <w:pPr>
        <w:pStyle w:val="1"/>
      </w:pPr>
      <w:r w:rsidRPr="00D960D6">
        <w:t>Права и обязанности абонента</w:t>
      </w:r>
    </w:p>
    <w:p w14:paraId="23398BC5" w14:textId="77777777" w:rsidR="00C25224" w:rsidRPr="00D960D6" w:rsidRDefault="00C25224" w:rsidP="00BD5D84">
      <w:pPr>
        <w:pStyle w:val="2"/>
      </w:pPr>
      <w:r w:rsidRPr="00D960D6">
        <w:t>Абонент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77777777" w:rsidR="00C25224" w:rsidRPr="00D960D6" w:rsidRDefault="00C25224" w:rsidP="00A939B7">
      <w:pPr>
        <w:pStyle w:val="3"/>
      </w:pPr>
      <w:r w:rsidRPr="00D960D6">
        <w:t>заявлять в ЭСО об ошибках, обнаруженных в платежных документах. Подача заявления об ошибке в платежном документе не освобождает Абонента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960D6" w:rsidRDefault="00C25224" w:rsidP="00A939B7">
      <w:pPr>
        <w:pStyle w:val="3"/>
      </w:pPr>
      <w:r w:rsidRPr="00D960D6">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 xml:space="preserve">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w:t>
      </w:r>
      <w:proofErr w:type="spellStart"/>
      <w:r w:rsidRPr="00D960D6">
        <w:t>энергопринимающие</w:t>
      </w:r>
      <w:proofErr w:type="spellEnd"/>
      <w:r w:rsidRPr="00D960D6">
        <w:t xml:space="preserve">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20304799" w14:textId="52819711" w:rsidR="0077606B"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w:t>
      </w:r>
      <w:r w:rsidRPr="00D960D6">
        <w:lastRenderedPageBreak/>
        <w:t xml:space="preserve">поставленного </w:t>
      </w:r>
      <w:r w:rsidR="006D44E6">
        <w:t>ЭСО</w:t>
      </w:r>
      <w:r w:rsidRPr="00D960D6">
        <w:t xml:space="preserve"> по договору за расчетный период, при условии выполнения </w:t>
      </w:r>
      <w:r w:rsidR="00810AB3">
        <w:t>Абонентом</w:t>
      </w:r>
      <w:r w:rsidRPr="00D960D6">
        <w:t xml:space="preserve"> (покупателем) следующих обязанностей</w:t>
      </w:r>
      <w:r w:rsidR="0081792D">
        <w:t xml:space="preserve"> в соответствии с действующим законодательством</w:t>
      </w:r>
      <w:r w:rsidR="0077606B">
        <w:t>.</w:t>
      </w:r>
    </w:p>
    <w:p w14:paraId="508D400A" w14:textId="77777777" w:rsidR="0077606B" w:rsidRPr="00736E53" w:rsidRDefault="0077606B" w:rsidP="0077606B">
      <w:pPr>
        <w:pStyle w:val="3"/>
        <w:numPr>
          <w:ilvl w:val="2"/>
          <w:numId w:val="2"/>
        </w:numPr>
        <w:ind w:left="0"/>
      </w:pPr>
      <w:r w:rsidRPr="00736E53">
        <w:t>С даты утраты Гарантирующим поставщиком его статуса перейти на обслуживание:</w:t>
      </w:r>
    </w:p>
    <w:p w14:paraId="55DEA9CE" w14:textId="612FE3CE" w:rsidR="0077606B" w:rsidRPr="00736E53" w:rsidRDefault="0077606B" w:rsidP="0077606B">
      <w:pPr>
        <w:widowControl w:val="0"/>
        <w:tabs>
          <w:tab w:val="left" w:pos="1308"/>
          <w:tab w:val="left" w:pos="1548"/>
        </w:tabs>
        <w:ind w:right="28"/>
      </w:pPr>
      <w:r w:rsidRPr="00736E53">
        <w:t>- к организации, которой присвоен статус гарантирующего поставщика, вне зависимости от соблюдения условий, предусмотренных п. </w:t>
      </w:r>
      <w:r>
        <w:fldChar w:fldCharType="begin"/>
      </w:r>
      <w:r>
        <w:instrText xml:space="preserve"> REF _Ref45890850 \r \h </w:instrText>
      </w:r>
      <w:r>
        <w:fldChar w:fldCharType="separate"/>
      </w:r>
      <w:r>
        <w:t>8.13</w:t>
      </w:r>
      <w:r>
        <w:fldChar w:fldCharType="end"/>
      </w:r>
      <w:r w:rsidRPr="00736E53">
        <w:t xml:space="preserve"> настоящего </w:t>
      </w:r>
      <w:r>
        <w:t>д</w:t>
      </w:r>
      <w:r w:rsidRPr="00736E53">
        <w:t>оговора;</w:t>
      </w:r>
    </w:p>
    <w:p w14:paraId="74E77F5E" w14:textId="3366AFED" w:rsidR="00B47786" w:rsidRPr="00D960D6" w:rsidRDefault="0077606B" w:rsidP="0077606B">
      <w:pPr>
        <w:pStyle w:val="3"/>
        <w:numPr>
          <w:ilvl w:val="0"/>
          <w:numId w:val="0"/>
        </w:numPr>
        <w:ind w:firstLine="709"/>
      </w:pPr>
      <w:r w:rsidRPr="00736E53">
        <w:t xml:space="preserve">- к </w:t>
      </w:r>
      <w:proofErr w:type="spellStart"/>
      <w:r w:rsidRPr="00736E53">
        <w:t>энергосбытовой</w:t>
      </w:r>
      <w:proofErr w:type="spellEnd"/>
      <w:r w:rsidRPr="00736E53">
        <w:t xml:space="preserve"> (</w:t>
      </w:r>
      <w:proofErr w:type="spellStart"/>
      <w:r w:rsidRPr="00736E53">
        <w:t>энергоснабжающей</w:t>
      </w:r>
      <w:proofErr w:type="spellEnd"/>
      <w:r w:rsidRPr="00736E53">
        <w:t>)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r>
        <w:t>.</w:t>
      </w:r>
    </w:p>
    <w:p w14:paraId="700E2AE3" w14:textId="77777777" w:rsidR="00E97BE6" w:rsidRPr="00D960D6" w:rsidRDefault="00E97BE6" w:rsidP="00BD5D84">
      <w:pPr>
        <w:pStyle w:val="2"/>
      </w:pPr>
      <w:r w:rsidRPr="00D960D6">
        <w:t>Абонент</w:t>
      </w:r>
      <w:r w:rsidR="008772A4" w:rsidRPr="00D960D6">
        <w:t xml:space="preserve"> </w:t>
      </w:r>
      <w:r w:rsidRPr="00D960D6">
        <w:t>обязан:</w:t>
      </w:r>
    </w:p>
    <w:p w14:paraId="6A903C7A" w14:textId="4BD734AB" w:rsidR="00E97BE6" w:rsidRPr="00D960D6"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 xml:space="preserve">в электроэнергетике. </w:t>
      </w:r>
    </w:p>
    <w:p w14:paraId="3A6CF175" w14:textId="1A0C6A7A" w:rsidR="00E97BE6" w:rsidRPr="00D960D6" w:rsidRDefault="00DA4D3B" w:rsidP="00A939B7">
      <w:pPr>
        <w:pStyle w:val="3"/>
      </w:pPr>
      <w:r w:rsidRPr="00D960D6">
        <w:t>о</w:t>
      </w:r>
      <w:r w:rsidR="00E97BE6" w:rsidRPr="00D960D6">
        <w:t xml:space="preserve">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14:paraId="0077E6E1" w14:textId="695D8270" w:rsidR="00E97BE6" w:rsidRPr="00D960D6" w:rsidRDefault="00DA4D3B" w:rsidP="00A939B7">
      <w:pPr>
        <w:pStyle w:val="3"/>
      </w:pPr>
      <w:r w:rsidRPr="00D960D6">
        <w:t>о</w:t>
      </w:r>
      <w:r w:rsidR="00E97BE6" w:rsidRPr="00D960D6">
        <w:t>беспечивать работоспособность,</w:t>
      </w:r>
      <w:r w:rsidR="008772A4" w:rsidRPr="00D960D6">
        <w:t xml:space="preserve"> </w:t>
      </w:r>
      <w:r w:rsidR="00E97BE6" w:rsidRPr="00D960D6">
        <w:t>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w:t>
      </w:r>
      <w:r w:rsidR="008772A4" w:rsidRPr="00D960D6">
        <w:t xml:space="preserve"> </w:t>
      </w:r>
      <w:r w:rsidR="00E97BE6" w:rsidRPr="00D960D6">
        <w:t xml:space="preserve">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 </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E97BE6" w:rsidRPr="00D960D6">
        <w:t>внерегламентных</w:t>
      </w:r>
      <w:proofErr w:type="spellEnd"/>
      <w:r w:rsidR="00E97BE6" w:rsidRPr="00D960D6">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 xml:space="preserve">на </w:t>
      </w:r>
      <w:proofErr w:type="spellStart"/>
      <w:r w:rsidR="0081792D">
        <w:t>энергопринимающих</w:t>
      </w:r>
      <w:proofErr w:type="spellEnd"/>
      <w:r w:rsidR="0081792D">
        <w:t xml:space="preserve"> устройствах</w:t>
      </w:r>
      <w:r w:rsidR="00E97BE6" w:rsidRPr="00D960D6">
        <w:t>.</w:t>
      </w:r>
    </w:p>
    <w:p w14:paraId="2F454908" w14:textId="225D9345" w:rsidR="00E97BE6" w:rsidRPr="00D960D6" w:rsidRDefault="00DA4D3B" w:rsidP="00A939B7">
      <w:pPr>
        <w:pStyle w:val="3"/>
      </w:pPr>
      <w:r w:rsidRPr="00D960D6">
        <w:t>о</w:t>
      </w:r>
      <w:r w:rsidR="00E97BE6" w:rsidRPr="00D960D6">
        <w:t xml:space="preserve">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w:t>
      </w:r>
      <w:proofErr w:type="spellStart"/>
      <w:r w:rsidR="00E97BE6" w:rsidRPr="00D960D6">
        <w:t>энергопринимающих</w:t>
      </w:r>
      <w:proofErr w:type="spellEnd"/>
      <w:r w:rsidR="00E97BE6" w:rsidRPr="00D960D6">
        <w:t xml:space="preserve">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1DB93F20"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когда Абонент является лицом, ответственным за снятие показаний прибора учет</w:t>
      </w:r>
      <w:r w:rsidR="00E97BE6" w:rsidRPr="000C217E">
        <w:t>а</w:t>
      </w:r>
      <w:r w:rsidR="000C217E" w:rsidRPr="000C217E">
        <w:t>.</w:t>
      </w:r>
    </w:p>
    <w:p w14:paraId="3FFB2233" w14:textId="0E29B50B"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0F6A7A">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w:t>
      </w:r>
      <w:r w:rsidRPr="000B7B2C">
        <w:lastRenderedPageBreak/>
        <w:t>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77777777"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Абонента от подписания указанного </w:t>
      </w:r>
      <w:r w:rsidR="00E97BE6" w:rsidRPr="001F7305">
        <w:t>акта, в</w:t>
      </w:r>
      <w:r w:rsidR="00E97BE6" w:rsidRPr="00D960D6">
        <w:t xml:space="preserve"> нем указывается причина такого отказа.</w:t>
      </w:r>
    </w:p>
    <w:p w14:paraId="77525D00" w14:textId="63A918C0" w:rsidR="00BD5299"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rsidR="0077606B">
        <w:t>.</w:t>
      </w:r>
    </w:p>
    <w:p w14:paraId="3B62B9F7" w14:textId="77777777" w:rsidR="0077606B" w:rsidRDefault="0077606B" w:rsidP="0077606B">
      <w:pPr>
        <w:pStyle w:val="3"/>
      </w:pPr>
      <w:r>
        <w:t xml:space="preserve">осуществлять эксплуатацию принадлежащих ему </w:t>
      </w:r>
      <w:proofErr w:type="spellStart"/>
      <w:r>
        <w:t>энергопринимающих</w:t>
      </w:r>
      <w:proofErr w:type="spellEnd"/>
      <w:r>
        <w:t xml:space="preserve"> устройств в соответствии с </w:t>
      </w:r>
      <w:hyperlink r:id="rId8" w:history="1">
        <w:r w:rsidRPr="0077606B">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55850322" w14:textId="77777777" w:rsidR="0077606B" w:rsidRDefault="0077606B" w:rsidP="0077606B">
      <w:pPr>
        <w:pStyle w:val="3"/>
        <w:numPr>
          <w:ilvl w:val="2"/>
          <w:numId w:val="2"/>
        </w:numPr>
        <w:spacing w:before="240"/>
        <w:ind w:left="0"/>
      </w:pPr>
      <w:r>
        <w:t>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режимах работы оборудования).</w:t>
      </w:r>
    </w:p>
    <w:p w14:paraId="6AD6175A" w14:textId="77777777" w:rsidR="0077606B" w:rsidRDefault="0077606B" w:rsidP="0077606B">
      <w:pPr>
        <w:pStyle w:val="3"/>
        <w:numPr>
          <w:ilvl w:val="2"/>
          <w:numId w:val="2"/>
        </w:numPr>
        <w:spacing w:before="240"/>
        <w:ind w:left="0"/>
      </w:pPr>
      <w:r>
        <w:t>информировать сетевую организацию об аварийных ситуациях на энергетических объектах, плановом, текущем и капитальном ремонте на них.</w:t>
      </w:r>
    </w:p>
    <w:p w14:paraId="324AB608" w14:textId="77777777" w:rsidR="0077606B" w:rsidRDefault="0077606B" w:rsidP="0077606B">
      <w:pPr>
        <w:pStyle w:val="3"/>
        <w:numPr>
          <w:ilvl w:val="2"/>
          <w:numId w:val="2"/>
        </w:numPr>
        <w:spacing w:before="240"/>
        <w:ind w:left="0"/>
      </w:pPr>
      <w:r>
        <w:t xml:space="preserve">информировать сетевую организацию об объеме участия в противоаварийном и автоматическом режимном управлении, а также о перечне и мощности </w:t>
      </w:r>
      <w:proofErr w:type="spellStart"/>
      <w:r>
        <w:t>электроприемников</w:t>
      </w:r>
      <w:proofErr w:type="spellEnd"/>
      <w:r>
        <w:t xml:space="preserve"> потребителя услуг, которые могут быть отключены устройствами противоаварийной автоматики.</w:t>
      </w:r>
    </w:p>
    <w:p w14:paraId="77361EC1" w14:textId="77777777" w:rsidR="0077606B" w:rsidRDefault="0077606B" w:rsidP="0077606B">
      <w:pPr>
        <w:pStyle w:val="3"/>
        <w:numPr>
          <w:ilvl w:val="2"/>
          <w:numId w:val="2"/>
        </w:numPr>
        <w:spacing w:before="240"/>
        <w:ind w:left="0"/>
      </w:pPr>
      <w:r>
        <w:t>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w:t>
      </w:r>
    </w:p>
    <w:p w14:paraId="7246C7BF" w14:textId="77777777" w:rsidR="0077606B" w:rsidRDefault="0077606B" w:rsidP="0077606B">
      <w:pPr>
        <w:pStyle w:val="3"/>
        <w:numPr>
          <w:ilvl w:val="2"/>
          <w:numId w:val="2"/>
        </w:numPr>
        <w:spacing w:before="240"/>
        <w:ind w:left="0"/>
      </w:pPr>
      <w: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2069F17C" w14:textId="77777777" w:rsidR="0077606B" w:rsidRDefault="0077606B" w:rsidP="0077606B">
      <w:pPr>
        <w:pStyle w:val="3"/>
        <w:numPr>
          <w:ilvl w:val="2"/>
          <w:numId w:val="2"/>
        </w:numPr>
        <w:spacing w:before="240"/>
        <w:ind w:left="0"/>
      </w:pPr>
      <w:r>
        <w:t xml:space="preserve">обеспечивать проведение замеров на </w:t>
      </w:r>
      <w:proofErr w:type="spellStart"/>
      <w:r>
        <w:t>энергопринимающих</w:t>
      </w:r>
      <w:proofErr w:type="spellEnd"/>
      <w:r>
        <w:t xml:space="preserve"> устройствах (объектах электроэнергетики), в отношении которых заключен договор (за исключением </w:t>
      </w:r>
      <w:proofErr w:type="spellStart"/>
      <w:r>
        <w:t>энергопринимающих</w:t>
      </w:r>
      <w:proofErr w:type="spellEnd"/>
      <w:r>
        <w:t xml:space="preserve">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6BCF0629" w14:textId="1B61E8B5" w:rsidR="00BD5299" w:rsidRDefault="0077606B" w:rsidP="0077606B">
      <w:pPr>
        <w:pStyle w:val="3"/>
      </w:pPr>
      <w:r>
        <w:t xml:space="preserve">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 w:history="1">
        <w:r w:rsidRPr="00D4166F">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а также у потребителя электрической энергии, </w:t>
      </w:r>
      <w:proofErr w:type="spellStart"/>
      <w:r>
        <w:t>энергопринимающее</w:t>
      </w:r>
      <w:proofErr w:type="spellEnd"/>
      <w:r>
        <w:t xml:space="preserve">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w:t>
      </w:r>
      <w:hyperlink r:id="rId10" w:history="1">
        <w:r w:rsidRPr="00D4166F">
          <w:rPr>
            <w:color w:val="0000FF"/>
          </w:rPr>
          <w:t>Правилами</w:t>
        </w:r>
      </w:hyperlink>
      <w:r>
        <w:t xml:space="preserve"> недискриминационного доступа к услугам по передаче электрической энергии и оказания этих услуг, оснований для изменения такого акта.</w:t>
      </w:r>
    </w:p>
    <w:p w14:paraId="551423B7" w14:textId="0CC6F823" w:rsidR="0054740D" w:rsidRPr="0054740D" w:rsidRDefault="0054740D" w:rsidP="0054740D">
      <w:pPr>
        <w:pStyle w:val="2"/>
      </w:pPr>
      <w:r w:rsidRPr="00254C99">
        <w:lastRenderedPageBreak/>
        <w:t>Абонент,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ЭСО копию акта согласования технологической и (или) аварийной брони не позднее 5 дней со дня согласования с сетевой организацией.</w:t>
      </w:r>
    </w:p>
    <w:p w14:paraId="2BF338D3" w14:textId="2D4898A1" w:rsidR="00E5577C" w:rsidRPr="00D960D6" w:rsidRDefault="00A0399D" w:rsidP="0054740D">
      <w:pPr>
        <w:pStyle w:val="1"/>
      </w:pPr>
      <w:r w:rsidRPr="00D960D6">
        <w:t>Порядок учета и определения объема потребленной электрической энергии</w:t>
      </w:r>
    </w:p>
    <w:p w14:paraId="5C228A11" w14:textId="75884C9C" w:rsidR="005A531C" w:rsidRPr="00A36876" w:rsidRDefault="005A531C" w:rsidP="005A531C">
      <w:pPr>
        <w:pStyle w:val="2"/>
        <w:rPr>
          <w:lang w:eastAsia="ru-RU"/>
        </w:rPr>
      </w:pPr>
      <w:r>
        <w:rPr>
          <w:lang w:eastAsia="ru-RU"/>
        </w:rPr>
        <w:t>Лицами,</w:t>
      </w:r>
      <w:r w:rsidRPr="00A36876">
        <w:rPr>
          <w:lang w:eastAsia="ru-RU"/>
        </w:rPr>
        <w:t xml:space="preserve"> </w:t>
      </w:r>
      <w:r>
        <w:rPr>
          <w:lang w:eastAsia="ru-RU"/>
        </w:rPr>
        <w:t>обеспечивающими коммерческий учет и его последующую эксплуатацию</w:t>
      </w:r>
      <w:r w:rsidRPr="00A36876">
        <w:rPr>
          <w:lang w:eastAsia="ru-RU"/>
        </w:rPr>
        <w:t>, являются:</w:t>
      </w:r>
    </w:p>
    <w:p w14:paraId="3417926E" w14:textId="77777777" w:rsidR="005A531C" w:rsidRDefault="005A531C" w:rsidP="005A531C">
      <w:pPr>
        <w:pStyle w:val="a"/>
      </w:pPr>
      <w:r>
        <w:t xml:space="preserve">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w:t>
      </w:r>
      <w:proofErr w:type="spellStart"/>
      <w:r>
        <w:t>энергопринимающих</w:t>
      </w:r>
      <w:proofErr w:type="spellEnd"/>
      <w:r>
        <w:t xml:space="preserve"> устройств потребителей электрической энергии (мощности), приобретающих электрическую энергию на розничных рынках;</w:t>
      </w:r>
    </w:p>
    <w:p w14:paraId="07596127" w14:textId="77777777" w:rsidR="005A531C" w:rsidRDefault="005A531C" w:rsidP="005A531C">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7C01DF6C" w14:textId="0AF0CAD2" w:rsidR="00FC7ACC" w:rsidRDefault="005A531C" w:rsidP="005A531C">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r w:rsidR="00FC7ACC">
        <w:t>.</w:t>
      </w:r>
    </w:p>
    <w:p w14:paraId="6EE52C4A" w14:textId="172F578C" w:rsidR="000B0969" w:rsidRPr="00BD5D84" w:rsidRDefault="009D64F7" w:rsidP="000B0969">
      <w:pPr>
        <w:pStyle w:val="2"/>
      </w:pPr>
      <w:r>
        <w:t>Т</w:t>
      </w:r>
      <w:r w:rsidR="000B0969" w:rsidRPr="00BD5D84">
        <w:t>ехнические характеристики системы учета</w:t>
      </w:r>
      <w:r>
        <w:t>, показания</w:t>
      </w:r>
      <w:r w:rsidRPr="009D64F7">
        <w:t xml:space="preserve"> </w:t>
      </w:r>
      <w:r>
        <w:t>и иная информация</w:t>
      </w:r>
      <w:r w:rsidRPr="00497653">
        <w:t>, необходим</w:t>
      </w:r>
      <w:r>
        <w:t>ая</w:t>
      </w:r>
      <w:r w:rsidRPr="00497653">
        <w:t xml:space="preserve"> для исполнения условий договора</w:t>
      </w:r>
      <w:r>
        <w:t>,</w:t>
      </w:r>
      <w:r w:rsidRPr="00497653">
        <w:t xml:space="preserve"> </w:t>
      </w:r>
      <w:r w:rsidR="000B0969" w:rsidRPr="00BD5D84">
        <w:t>содержатся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000B0969" w:rsidRPr="00BD5D84">
        <w:t xml:space="preserve"> </w:t>
      </w:r>
      <w:r w:rsidR="00060B2F">
        <w:t>который являе</w:t>
      </w:r>
      <w:r w:rsidR="000B0969" w:rsidRPr="00BD5D84">
        <w:t>тся Приложением № 3 к настоящему договору.</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lastRenderedPageBreak/>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 xml:space="preserve">собственника (владельца) </w:t>
      </w:r>
      <w:proofErr w:type="spellStart"/>
      <w:r w:rsidR="00EA5065" w:rsidRPr="00EA5065">
        <w:t>энергопринимающих</w:t>
      </w:r>
      <w:proofErr w:type="spellEnd"/>
      <w:r w:rsidR="00EA5065" w:rsidRPr="00EA5065">
        <w:t xml:space="preserve"> устройств.</w:t>
      </w:r>
    </w:p>
    <w:p w14:paraId="2010CE85" w14:textId="77777777" w:rsidR="00F66A82" w:rsidRPr="00BB1DFE" w:rsidRDefault="00F66A82" w:rsidP="001E18E1">
      <w:pPr>
        <w:pStyle w:val="3"/>
      </w:pPr>
      <w:r w:rsidRPr="00DB3ABE">
        <w:t xml:space="preserve">Собственник (владелец) </w:t>
      </w:r>
      <w:proofErr w:type="spellStart"/>
      <w:r w:rsidRPr="00DB3ABE">
        <w:t>энергопринимающих</w:t>
      </w:r>
      <w:proofErr w:type="spellEnd"/>
      <w:r w:rsidRPr="00DB3ABE">
        <w:t xml:space="preserve">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w:t>
      </w:r>
      <w:proofErr w:type="gramStart"/>
      <w:r w:rsidRPr="00DB3ABE">
        <w:t>учета</w:t>
      </w:r>
      <w:proofErr w:type="gramEnd"/>
      <w:r w:rsidRPr="00DB3ABE">
        <w:t xml:space="preserve">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 xml:space="preserve">ец) </w:t>
      </w:r>
      <w:proofErr w:type="spellStart"/>
      <w:r w:rsidR="005B2EC5">
        <w:t>энергопринимающих</w:t>
      </w:r>
      <w:proofErr w:type="spellEnd"/>
      <w:r w:rsidR="005B2EC5">
        <w:t xml:space="preserve"> устройств</w:t>
      </w:r>
      <w:r w:rsidR="00464013">
        <w:t>,</w:t>
      </w:r>
      <w:r w:rsidRPr="00BB1DFE">
        <w:t xml:space="preserve"> в границах объектов электроэнергетики (</w:t>
      </w:r>
      <w:proofErr w:type="spellStart"/>
      <w:r w:rsidRPr="00BB1DFE">
        <w:t>энергопринимающих</w:t>
      </w:r>
      <w:proofErr w:type="spellEnd"/>
      <w:r w:rsidRPr="00BB1DFE">
        <w:t xml:space="preserve">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77777777" w:rsidR="008643D2" w:rsidRPr="004334C4" w:rsidRDefault="008643D2" w:rsidP="008643D2">
      <w:pPr>
        <w:pStyle w:val="2"/>
      </w:pPr>
      <w:r w:rsidRPr="004334C4">
        <w:t>Стороны договорились, что представителем Абонента по настоящему Договору при проведении проверок и составлении актов является представитель Абонента, обеспечивший доступ к приборам учета (измерительным комплексам, системам учета) и иному электрооборудованию, находящемуся на объектах Абонента.</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w:t>
      </w:r>
      <w:proofErr w:type="spellStart"/>
      <w:r w:rsidRPr="00D960D6">
        <w:t>энергопринимающих</w:t>
      </w:r>
      <w:proofErr w:type="spellEnd"/>
      <w:r w:rsidRPr="00D960D6">
        <w:t xml:space="preserve">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 xml:space="preserve">Учет потребленной электрической энергии за расчетный период </w:t>
      </w:r>
      <w:proofErr w:type="gramStart"/>
      <w:r w:rsidRPr="005B2EC5">
        <w:t>производится</w:t>
      </w:r>
      <w:proofErr w:type="gramEnd"/>
      <w:r w:rsidRPr="005B2EC5">
        <w:t xml:space="preserve">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7F977FB9" w:rsidR="00A76479" w:rsidRDefault="00A76479" w:rsidP="00BD5D84">
      <w:pPr>
        <w:pStyle w:val="2"/>
      </w:pPr>
      <w:r w:rsidRPr="00D960D6">
        <w:lastRenderedPageBreak/>
        <w:t xml:space="preserve">Объем оказанных Абоненту услуг в </w:t>
      </w:r>
      <w:r w:rsidRPr="004F4E69">
        <w:t>соответствии с</w:t>
      </w:r>
      <w:r w:rsidR="00791459">
        <w:t xml:space="preserve"> п.</w:t>
      </w:r>
      <w:r w:rsidR="00BF7D45">
        <w:t> </w:t>
      </w:r>
      <w:r w:rsidR="00791459">
        <w:fldChar w:fldCharType="begin"/>
      </w:r>
      <w:r w:rsidR="00791459">
        <w:instrText xml:space="preserve"> REF _Ref44539649 \r \h </w:instrText>
      </w:r>
      <w:r w:rsidR="00791459">
        <w:fldChar w:fldCharType="separate"/>
      </w:r>
      <w:r w:rsidR="00AB749C">
        <w:t>3.2.2</w:t>
      </w:r>
      <w:r w:rsidR="00791459">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77777777" w:rsidR="00A76479" w:rsidRDefault="00A76479" w:rsidP="00BD5D84">
      <w:pPr>
        <w:pStyle w:val="2"/>
      </w:pPr>
      <w:r>
        <w:t>В случае если прибор учета не расположен на границе балансовой принадлежности объектов электроэнергетики (</w:t>
      </w:r>
      <w:proofErr w:type="spellStart"/>
      <w:r>
        <w:t>энергопринимающих</w:t>
      </w:r>
      <w:proofErr w:type="spellEnd"/>
      <w:r>
        <w:t xml:space="preserve">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Расчет величины потерь в таком случае осуществляется сетевой организацией</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1" w:name="dst1946"/>
      <w:bookmarkEnd w:id="1"/>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2" w:name="dst1947"/>
      <w:bookmarkStart w:id="3" w:name="dst1948"/>
      <w:bookmarkEnd w:id="2"/>
      <w:bookmarkEnd w:id="3"/>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77777777" w:rsidR="005F223C" w:rsidRDefault="005F223C" w:rsidP="005F223C">
      <w:pPr>
        <w:pStyle w:val="a"/>
      </w:pPr>
      <w:r w:rsidRPr="0015731C">
        <w:rPr>
          <w:lang w:eastAsia="ru-RU"/>
        </w:rPr>
        <w:t>А</w:t>
      </w:r>
      <w:r>
        <w:rPr>
          <w:lang w:eastAsia="ru-RU"/>
        </w:rPr>
        <w:t>бонент -</w:t>
      </w:r>
      <w:r w:rsidRPr="00A36876">
        <w:rPr>
          <w:lang w:eastAsia="ru-RU"/>
        </w:rPr>
        <w:t xml:space="preserve"> в отношении расчетных приборов учета, установленных в границах объектов абонента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1"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77777777" w:rsidR="003E73DC" w:rsidRPr="006A58CA" w:rsidRDefault="003E73DC" w:rsidP="00A61E6C">
      <w:pPr>
        <w:pStyle w:val="2"/>
      </w:pPr>
      <w:r w:rsidRPr="006A58CA">
        <w:t xml:space="preserve">Отчет о расходе электрической энергии (мощности) </w:t>
      </w:r>
      <w:r w:rsidR="006D44E6">
        <w:t>Абонент</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629F3DE1" w:rsidR="00791459" w:rsidRPr="006A58CA" w:rsidRDefault="003E73DC" w:rsidP="00791459">
      <w:pPr>
        <w:pStyle w:val="a"/>
      </w:pPr>
      <w:r w:rsidRPr="006A58CA">
        <w:t>в отношении расчетных приборов учета, не присоединенных к интеллектуальным системам учета электрической энергии (мощности), в течение последующих 3 рабочих дней».</w:t>
      </w:r>
    </w:p>
    <w:p w14:paraId="3845F1D1" w14:textId="77777777" w:rsidR="00E5577C" w:rsidRPr="00D960D6" w:rsidRDefault="00E5577C" w:rsidP="00BD5D84">
      <w:pPr>
        <w:pStyle w:val="2"/>
      </w:pPr>
      <w:bookmarkStart w:id="4" w:name="_Ref45890386"/>
      <w:r w:rsidRPr="00D960D6">
        <w:t>Отчет о расходе электрической энергии (мощности) должен содержать следующую информацию:</w:t>
      </w:r>
      <w:bookmarkEnd w:id="4"/>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1215C55F"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Абонент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w:t>
      </w:r>
      <w:r w:rsidRPr="00D960D6">
        <w:lastRenderedPageBreak/>
        <w:t xml:space="preserve">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77777777"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получения ЭСО (сетевой организацией) сведений в формате файла, установленного на сайте ЭСО, с электронного адреса Абонента</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77777777" w:rsidR="00E5577C" w:rsidRPr="00D960D6" w:rsidRDefault="00E5577C" w:rsidP="00BD5D84">
      <w:pPr>
        <w:pStyle w:val="2"/>
      </w:pPr>
      <w:r w:rsidRPr="00D960D6">
        <w:t>В случае получения уведомления Абонентом от ЭСО о возможности приема отчета о расходе электрической энергии от Абонента через сеть Интернет с помощью Личного кабинета, Абонент обязан передавать такой отчет через Личный кабинет.</w:t>
      </w:r>
    </w:p>
    <w:p w14:paraId="4825C0AD" w14:textId="33AADF55" w:rsidR="00E5577C" w:rsidRPr="00D960D6" w:rsidRDefault="00E5577C" w:rsidP="00BD5D84">
      <w:pPr>
        <w:pStyle w:val="2"/>
      </w:pPr>
      <w:r w:rsidRPr="00D960D6">
        <w:t>В случае, если объем потребленной Абонентом электрической энергии по точке поставки Абонента учитывается общедомовым (коллективным) прибором учета, то Абонент обязан снимать показания прибора (</w:t>
      </w:r>
      <w:proofErr w:type="spellStart"/>
      <w:r w:rsidRPr="00D960D6">
        <w:t>ов</w:t>
      </w:r>
      <w:proofErr w:type="spellEnd"/>
      <w:r w:rsidRPr="00D960D6">
        <w:t xml:space="preserve">)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AB749C">
        <w:t>5.18</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321A96F1" w:rsidR="00E5577C" w:rsidRPr="001F7305" w:rsidRDefault="00E5577C" w:rsidP="00BD5D84">
      <w:pPr>
        <w:pStyle w:val="2"/>
        <w:rPr>
          <w:shd w:val="clear" w:color="auto" w:fill="C0C0C0"/>
        </w:rPr>
      </w:pPr>
      <w:r w:rsidRPr="00D960D6">
        <w:t xml:space="preserve">В случае 2-кратного </w:t>
      </w:r>
      <w:proofErr w:type="spellStart"/>
      <w:r w:rsidRPr="00D960D6">
        <w:t>недопуска</w:t>
      </w:r>
      <w:proofErr w:type="spellEnd"/>
      <w:r w:rsidRPr="00D960D6">
        <w:t xml:space="preserve"> к расчетному прибору учета, установленному в границах </w:t>
      </w:r>
      <w:proofErr w:type="spellStart"/>
      <w:r w:rsidRPr="00D960D6">
        <w:t>энергопринимающих</w:t>
      </w:r>
      <w:proofErr w:type="spellEnd"/>
      <w:r w:rsidRPr="00D960D6">
        <w:t xml:space="preserve"> устройств </w:t>
      </w:r>
      <w:r w:rsidR="00810AB3">
        <w:t>Абонента</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и оказанных услуг по передаче электрической энергии, начиная с даты 2-го </w:t>
      </w:r>
      <w:proofErr w:type="spellStart"/>
      <w:r w:rsidRPr="00D960D6">
        <w:t>недопуска</w:t>
      </w:r>
      <w:proofErr w:type="spellEnd"/>
      <w:r w:rsidRPr="00D960D6">
        <w:t xml:space="preserve">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77777777" w:rsidR="00E5577C" w:rsidRPr="00D960D6" w:rsidRDefault="00E5577C" w:rsidP="00BD5D84">
      <w:pPr>
        <w:pStyle w:val="2"/>
      </w:pPr>
      <w:bookmarkStart w:id="5" w:name="dst2108"/>
      <w:bookmarkEnd w:id="5"/>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14:paraId="62730BAF" w14:textId="77777777" w:rsidR="00E5577C" w:rsidRPr="00D960D6" w:rsidRDefault="00E5577C" w:rsidP="005816A3">
      <w:pPr>
        <w:pStyle w:val="a"/>
      </w:pPr>
      <w:bookmarkStart w:id="6" w:name="dst2109"/>
      <w:bookmarkEnd w:id="6"/>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7" w:name="dst2110"/>
      <w:bookmarkEnd w:id="7"/>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proofErr w:type="spellStart"/>
      <w:r w:rsidRPr="00EA7D7C">
        <w:t>Безучетным</w:t>
      </w:r>
      <w:proofErr w:type="spellEnd"/>
      <w:r w:rsidRPr="00EA7D7C">
        <w:t xml:space="preserve">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2B1AB55D" w:rsidR="00E5577C" w:rsidRPr="00D960D6" w:rsidRDefault="00E5577C" w:rsidP="00BD5D84">
      <w:pPr>
        <w:pStyle w:val="2"/>
      </w:pPr>
      <w:r w:rsidRPr="00D960D6">
        <w:t xml:space="preserve">При выявлении случаев </w:t>
      </w:r>
      <w:proofErr w:type="spellStart"/>
      <w:r w:rsidRPr="00D960D6">
        <w:t>безучетного</w:t>
      </w:r>
      <w:proofErr w:type="spellEnd"/>
      <w:r w:rsidRPr="00D960D6">
        <w:t xml:space="preserve"> потребления энергии составляется акт о неучтенном потреблении, на основании которого ЭСО вправе предъявить к оплате, а Абонент </w:t>
      </w:r>
      <w:r w:rsidRPr="00D960D6">
        <w:lastRenderedPageBreak/>
        <w:t xml:space="preserve">обязан оплатить стоимость </w:t>
      </w:r>
      <w:proofErr w:type="spellStart"/>
      <w:r w:rsidRPr="00D960D6">
        <w:t>безучетного</w:t>
      </w:r>
      <w:proofErr w:type="spellEnd"/>
      <w:r w:rsidRPr="00D960D6">
        <w:t xml:space="preserve"> потребления энергии в срок, определенный </w:t>
      </w:r>
      <w:r w:rsidRPr="00510433">
        <w:t>в</w:t>
      </w:r>
      <w:r w:rsidRPr="00510433">
        <w:rPr>
          <w:color w:val="000000" w:themeColor="text1"/>
        </w:rPr>
        <w:t xml:space="preserve"> п.</w:t>
      </w:r>
      <w:r w:rsidR="00510433">
        <w:rPr>
          <w:color w:val="000000" w:themeColor="text1"/>
        </w:rPr>
        <w:t> </w:t>
      </w:r>
      <w:r w:rsidR="00510433">
        <w:rPr>
          <w:color w:val="000000" w:themeColor="text1"/>
          <w:highlight w:val="yellow"/>
        </w:rPr>
        <w:fldChar w:fldCharType="begin"/>
      </w:r>
      <w:r w:rsidR="00510433">
        <w:rPr>
          <w:color w:val="000000" w:themeColor="text1"/>
        </w:rPr>
        <w:instrText xml:space="preserve"> REF _Ref46318765 \r \h </w:instrText>
      </w:r>
      <w:r w:rsidR="00510433">
        <w:rPr>
          <w:color w:val="000000" w:themeColor="text1"/>
          <w:highlight w:val="yellow"/>
        </w:rPr>
      </w:r>
      <w:r w:rsidR="00510433">
        <w:rPr>
          <w:color w:val="000000" w:themeColor="text1"/>
          <w:highlight w:val="yellow"/>
        </w:rPr>
        <w:fldChar w:fldCharType="separate"/>
      </w:r>
      <w:r w:rsidR="00AB749C">
        <w:rPr>
          <w:color w:val="000000" w:themeColor="text1"/>
        </w:rPr>
        <w:t>6.6</w:t>
      </w:r>
      <w:r w:rsidR="00510433">
        <w:rPr>
          <w:color w:val="000000" w:themeColor="text1"/>
          <w:highlight w:val="yellow"/>
        </w:rPr>
        <w:fldChar w:fldCharType="end"/>
      </w:r>
      <w:r w:rsidRPr="00B37B0A">
        <w:rPr>
          <w:color w:val="000000" w:themeColor="text1"/>
        </w:rPr>
        <w:t xml:space="preserve"> </w:t>
      </w:r>
      <w:r w:rsidRPr="00D960D6">
        <w:t>настоящего договора, соответствующий сроку оплаты</w:t>
      </w:r>
      <w:r w:rsidR="008772A4" w:rsidRPr="00D960D6">
        <w:t xml:space="preserve"> </w:t>
      </w:r>
      <w:r w:rsidRPr="00D960D6">
        <w:t>выставленного Абоненту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 xml:space="preserve">бъем </w:t>
      </w:r>
      <w:proofErr w:type="spellStart"/>
      <w:r w:rsidR="00E5577C" w:rsidRPr="00D960D6">
        <w:t>безучетного</w:t>
      </w:r>
      <w:proofErr w:type="spellEnd"/>
      <w:r w:rsidR="00E5577C" w:rsidRPr="00D960D6">
        <w:t xml:space="preserve">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77777777" w:rsidR="00E5577C" w:rsidRDefault="00E5577C" w:rsidP="00BD5D84">
      <w:pPr>
        <w:pStyle w:val="2"/>
      </w:pPr>
      <w:r w:rsidRPr="00EA7D7C">
        <w:t xml:space="preserve">Фактическая величина мощности, потребленной Абонентом,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t>Порядок осуществления расчетов за электрическую энергию (мощность)</w:t>
      </w:r>
    </w:p>
    <w:p w14:paraId="08622555" w14:textId="77777777" w:rsidR="00A31A6B" w:rsidRPr="00D27710" w:rsidRDefault="00A31A6B" w:rsidP="00A31A6B">
      <w:pPr>
        <w:pStyle w:val="2"/>
      </w:pPr>
      <w:r w:rsidRPr="00D27710">
        <w:t>Расчеты за электрическую энергию (мощность) производятся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14:paraId="19E8ECA2" w14:textId="77777777" w:rsidR="00E5577C" w:rsidRPr="00D27710" w:rsidRDefault="00E5577C" w:rsidP="00BD5D84">
      <w:pPr>
        <w:pStyle w:val="2"/>
      </w:pPr>
      <w:r w:rsidRPr="00D27710">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0AAC2AFB" w14:textId="77777777" w:rsidR="00A31A6B" w:rsidRPr="00D27710" w:rsidRDefault="00A31A6B" w:rsidP="00A31A6B">
      <w:pPr>
        <w:pStyle w:val="2"/>
      </w:pPr>
      <w:r w:rsidRPr="00D27710">
        <w:t>Регулируемые цены (тарифы) для поставки электрической энергии приравненным к населению категориям потребителей устанавливаются одновременно в 2 вариантах:</w:t>
      </w:r>
    </w:p>
    <w:p w14:paraId="09F990F1" w14:textId="77777777" w:rsidR="00A31A6B" w:rsidRPr="00D27710" w:rsidRDefault="00A31A6B" w:rsidP="00A31A6B">
      <w:r w:rsidRPr="00D27710">
        <w:t xml:space="preserve">- </w:t>
      </w:r>
      <w:proofErr w:type="spellStart"/>
      <w:r w:rsidRPr="00D27710">
        <w:t>одноставочная</w:t>
      </w:r>
      <w:proofErr w:type="spellEnd"/>
      <w:r w:rsidRPr="00D27710">
        <w:t xml:space="preserve"> цена (тариф), включающая в себя стоимость поставки 1 киловатт-часа электрической энергии с учетом стоимости мощности;</w:t>
      </w:r>
    </w:p>
    <w:p w14:paraId="463A120A" w14:textId="77777777" w:rsidR="00A31A6B" w:rsidRPr="00D27710" w:rsidRDefault="00A31A6B" w:rsidP="00A31A6B">
      <w:r w:rsidRPr="00D27710">
        <w:t xml:space="preserve">- </w:t>
      </w:r>
      <w:proofErr w:type="spellStart"/>
      <w:r w:rsidRPr="00D27710">
        <w:t>одноставочная</w:t>
      </w:r>
      <w:proofErr w:type="spellEnd"/>
      <w:r w:rsidRPr="00D27710">
        <w:t>, дифференцированная по 2 и 3 зонам суток цена (тариф), включающая в себя стоимость поставки 1 киловатт-часа электрической энергии с учетом стоимости мощности.</w:t>
      </w:r>
    </w:p>
    <w:p w14:paraId="3CD2F515" w14:textId="77777777" w:rsidR="00A31A6B" w:rsidRPr="00D27710" w:rsidRDefault="00A31A6B" w:rsidP="00A31A6B">
      <w:r w:rsidRPr="00D27710">
        <w:t>Интервалы тарифных зон суток (по месяцам календарного года) утверждаются Федеральной службой по тарифам.</w:t>
      </w:r>
    </w:p>
    <w:p w14:paraId="605C7030" w14:textId="78310A81" w:rsidR="00A31A6B" w:rsidRPr="00D27710" w:rsidRDefault="00A31A6B" w:rsidP="000377CC">
      <w:pPr>
        <w:pStyle w:val="2"/>
      </w:pPr>
      <w:r w:rsidRPr="00D27710">
        <w:t>Выбор варианта цены (тарифа) производится Абонентом путем направления письменного уведомления гарантирующему поставщику (</w:t>
      </w:r>
      <w:proofErr w:type="spellStart"/>
      <w:r w:rsidRPr="00D27710">
        <w:t>энергосбытовой</w:t>
      </w:r>
      <w:proofErr w:type="spellEnd"/>
      <w:r w:rsidRPr="00D27710">
        <w:t xml:space="preserve">, </w:t>
      </w:r>
      <w:proofErr w:type="spellStart"/>
      <w:r w:rsidRPr="00D27710">
        <w:t>энергоснабжающей</w:t>
      </w:r>
      <w:proofErr w:type="spellEnd"/>
      <w:r w:rsidRPr="00D27710">
        <w:t xml:space="preserve">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w:t>
      </w:r>
      <w:proofErr w:type="spellStart"/>
      <w:r w:rsidRPr="00D27710">
        <w:t>одноставочной</w:t>
      </w:r>
      <w:proofErr w:type="spellEnd"/>
      <w:r w:rsidRPr="00D27710">
        <w:t>, дифференцированной по 2 и 3 зонам суток цены (тарифа)).</w:t>
      </w:r>
    </w:p>
    <w:p w14:paraId="36B8FA4B" w14:textId="2E58648E" w:rsidR="00E5577C" w:rsidRPr="00D960D6" w:rsidRDefault="00E5577C" w:rsidP="00BD5D84">
      <w:pPr>
        <w:pStyle w:val="2"/>
      </w:pPr>
      <w:r w:rsidRPr="00D960D6">
        <w:t xml:space="preserve">Расчетным периодом для Абонента является календарный месяц, в котором производится подача электрической энергии и мощности. </w:t>
      </w:r>
    </w:p>
    <w:p w14:paraId="7166F2D3" w14:textId="2AE87422" w:rsidR="00E5577C" w:rsidRPr="00D960D6" w:rsidRDefault="000377CC" w:rsidP="000377CC">
      <w:pPr>
        <w:pStyle w:val="2"/>
      </w:pPr>
      <w:bookmarkStart w:id="8" w:name="_Ref46318765"/>
      <w:bookmarkStart w:id="9" w:name="_Ref45890443"/>
      <w:r>
        <w:t>Оплата</w:t>
      </w:r>
      <w:r w:rsidRPr="000377CC">
        <w:t xml:space="preserve"> за потребленную электроэнергию по регулируемым ценам (тарифам) производится Абонентом в следующем порядке:</w:t>
      </w:r>
      <w:bookmarkEnd w:id="8"/>
      <w:r w:rsidRPr="000377CC">
        <w:t xml:space="preserve"> </w:t>
      </w:r>
      <w:bookmarkEnd w:id="9"/>
    </w:p>
    <w:p w14:paraId="157E71DB" w14:textId="77777777"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2EE292EF" w14:textId="77777777" w:rsidR="00E5577C" w:rsidRPr="00D960D6" w:rsidRDefault="00E5577C" w:rsidP="00444934">
      <w:pPr>
        <w:pStyle w:val="a"/>
      </w:pPr>
      <w:r w:rsidRPr="00D960D6">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452BB364" w14:textId="02DD3F48"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Абонентом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4C5FE9"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4C5FE9">
        <w:t xml:space="preserve"> оплаты поставленной и неоплаченной электроэнергии в последующих расчетных периодах.</w:t>
      </w:r>
    </w:p>
    <w:p w14:paraId="5DDF114A" w14:textId="46F617D5" w:rsidR="000377CC" w:rsidRPr="00D960D6" w:rsidRDefault="00E5577C" w:rsidP="00554D4D">
      <w:r w:rsidRPr="00D960D6">
        <w:lastRenderedPageBreak/>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1844E637" w14:textId="77777777" w:rsidR="00E5577C" w:rsidRPr="00D960D6" w:rsidRDefault="00E5577C" w:rsidP="00BD5D84">
      <w:pPr>
        <w:pStyle w:val="2"/>
      </w:pPr>
      <w:r w:rsidRPr="00D960D6">
        <w:t>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7777777" w:rsidR="00E5577C" w:rsidRPr="00D960D6" w:rsidRDefault="00E5577C" w:rsidP="00BD5D84">
      <w:pPr>
        <w:pStyle w:val="2"/>
      </w:pPr>
      <w:r w:rsidRPr="00D960D6">
        <w:t>Абонент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Pr="00D960D6">
        <w:t xml:space="preserve"> акт считается принятым и согласованным Абонентом.</w:t>
      </w:r>
    </w:p>
    <w:p w14:paraId="1C7E312F" w14:textId="3D086D06" w:rsidR="00E5577C" w:rsidRPr="00D960D6" w:rsidRDefault="00E5577C" w:rsidP="00BD5D84">
      <w:pPr>
        <w:pStyle w:val="2"/>
      </w:pPr>
      <w:r w:rsidRPr="00D960D6">
        <w:t>В случае, если по настоящему договору, точкой (точками) поставки Абонента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w:t>
      </w:r>
      <w:proofErr w:type="spellStart"/>
      <w:r w:rsidRPr="00D960D6">
        <w:t>ресурсоснабжения</w:t>
      </w:r>
      <w:proofErr w:type="spellEnd"/>
      <w:r w:rsidRPr="00D960D6">
        <w:t xml:space="preserve">, то ЭСО может выставить Абоненту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Абонент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Абоненту, в порядке и сроки, </w:t>
      </w:r>
      <w:r w:rsidRPr="004F4E69">
        <w:t>предусмотренные п.</w:t>
      </w:r>
      <w:r w:rsidR="00BF7D45">
        <w:t> </w:t>
      </w:r>
      <w:r w:rsidR="00E73F41">
        <w:fldChar w:fldCharType="begin"/>
      </w:r>
      <w:r w:rsidR="00E73F41">
        <w:instrText xml:space="preserve"> REF _Ref46318765 \r \h </w:instrText>
      </w:r>
      <w:r w:rsidR="00E73F41">
        <w:fldChar w:fldCharType="separate"/>
      </w:r>
      <w:r w:rsidR="00AB749C">
        <w:t>6.6</w:t>
      </w:r>
      <w:r w:rsidR="00E73F41">
        <w:fldChar w:fldCharType="end"/>
      </w:r>
      <w:r w:rsidRPr="00D960D6">
        <w:t xml:space="preserve"> настоящего договора.</w:t>
      </w:r>
    </w:p>
    <w:p w14:paraId="30319657" w14:textId="77777777" w:rsidR="00E5577C" w:rsidRPr="00D960D6" w:rsidRDefault="001B1EDA" w:rsidP="00A939B7">
      <w:pPr>
        <w:pStyle w:val="1"/>
      </w:pPr>
      <w:r w:rsidRPr="00D960D6">
        <w:t>Ответственность сторон и способы обеспечения обязательств по договору</w:t>
      </w:r>
    </w:p>
    <w:p w14:paraId="2790C7D7" w14:textId="77777777"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A34A3">
        <w:t>Абонентом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77777777" w:rsidR="00E5577C" w:rsidRPr="00D960D6" w:rsidRDefault="00E5577C" w:rsidP="000D1C6B">
      <w:pPr>
        <w:pStyle w:val="2"/>
      </w:pPr>
      <w:r w:rsidRPr="00D960D6">
        <w:t xml:space="preserve">ЭСО несет ответственность перед </w:t>
      </w:r>
      <w:r w:rsidR="001A34A3">
        <w:t>Абонентом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14:paraId="1288FCD2" w14:textId="3C80B142" w:rsidR="00E5577C" w:rsidRPr="00D960D6" w:rsidRDefault="00E5577C" w:rsidP="000D1C6B">
      <w:pPr>
        <w:pStyle w:val="2"/>
      </w:pPr>
      <w:r w:rsidRPr="00D960D6">
        <w:t xml:space="preserve">В случае, если </w:t>
      </w:r>
      <w:proofErr w:type="spellStart"/>
      <w:r w:rsidRPr="00D960D6">
        <w:t>энергопринимающие</w:t>
      </w:r>
      <w:proofErr w:type="spellEnd"/>
      <w:r w:rsidRPr="00D960D6">
        <w:t xml:space="preserve"> устройства Абонента технологически присоединены к объектам электросетевого хозяйства сетевой организации через </w:t>
      </w:r>
      <w:proofErr w:type="spellStart"/>
      <w:r w:rsidRPr="00D960D6">
        <w:t>энергопринимающие</w:t>
      </w:r>
      <w:proofErr w:type="spellEnd"/>
      <w:r w:rsidRPr="00D960D6">
        <w:t xml:space="preserve">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Абонентом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p>
    <w:p w14:paraId="2C57BEF6" w14:textId="77777777" w:rsidR="00E5577C" w:rsidRPr="00D960D6" w:rsidRDefault="00E5577C" w:rsidP="000D1C6B">
      <w:pPr>
        <w:pStyle w:val="2"/>
        <w:rPr>
          <w:color w:val="000000" w:themeColor="text1"/>
        </w:rPr>
      </w:pPr>
      <w:r w:rsidRPr="00D960D6">
        <w:t xml:space="preserve">Границы раздела балансовой принадлежности электроустановок и ответственности между сетевой организацией и Абонентом установлены актом </w:t>
      </w:r>
      <w:r w:rsidRPr="00D960D6">
        <w:rPr>
          <w:color w:val="000000" w:themeColor="text1"/>
        </w:rPr>
        <w:t>об осуществлении технологического присоединения.</w:t>
      </w:r>
    </w:p>
    <w:p w14:paraId="197B7B64" w14:textId="00757C55" w:rsidR="00547ECF" w:rsidRDefault="00E5577C" w:rsidP="000D1C6B">
      <w:pPr>
        <w:pStyle w:val="2"/>
      </w:pPr>
      <w:r w:rsidRPr="00D960D6">
        <w:t>В случае перерыва энергоснабжения по вине ЭСО, последняя обязана возместить Абоненту причиненный этим реальный ущерб</w:t>
      </w:r>
      <w:r w:rsidR="00547ECF">
        <w:t>.</w:t>
      </w:r>
    </w:p>
    <w:p w14:paraId="3D459F76" w14:textId="60878688" w:rsidR="00E5577C" w:rsidRPr="00D960D6" w:rsidRDefault="00E5577C" w:rsidP="00547ECF">
      <w:pPr>
        <w:pStyle w:val="2"/>
        <w:numPr>
          <w:ilvl w:val="1"/>
          <w:numId w:val="2"/>
        </w:numPr>
        <w:ind w:left="0"/>
      </w:pPr>
      <w:r w:rsidRPr="00D960D6">
        <w:lastRenderedPageBreak/>
        <w:t xml:space="preserve">. </w:t>
      </w:r>
      <w:r w:rsidR="00547ECF"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12C8E5F8"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E73F41">
        <w:fldChar w:fldCharType="begin"/>
      </w:r>
      <w:r w:rsidR="00E73F41">
        <w:instrText xml:space="preserve"> REF _Ref46318765 \r \h </w:instrText>
      </w:r>
      <w:r w:rsidR="00E73F41">
        <w:fldChar w:fldCharType="separate"/>
      </w:r>
      <w:r w:rsidR="00AB749C">
        <w:t>6.6</w:t>
      </w:r>
      <w:r w:rsidR="00E73F41">
        <w:fldChar w:fldCharType="end"/>
      </w:r>
      <w:r w:rsidRPr="004F4E69">
        <w:t xml:space="preserve"> </w:t>
      </w:r>
      <w:r w:rsidRPr="00D960D6">
        <w:t xml:space="preserve">настоящего договора ЭСО вправе начислять Абоненту пеню в размере одной </w:t>
      </w:r>
      <w:proofErr w:type="spellStart"/>
      <w:r w:rsidRPr="00D960D6">
        <w:t>стотридцатой</w:t>
      </w:r>
      <w:proofErr w:type="spellEnd"/>
      <w:r w:rsidRPr="00D960D6">
        <w:t xml:space="preserve"> </w:t>
      </w:r>
      <w:hyperlink r:id="rId12"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55B1F523" w14:textId="77777777"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Pr="00D960D6">
        <w:t xml:space="preserve">Абонент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27161C7A" w14:textId="77777777" w:rsidR="00E5577C" w:rsidRPr="00D960D6" w:rsidRDefault="00E5577C" w:rsidP="000D1C6B">
      <w:pPr>
        <w:pStyle w:val="2"/>
      </w:pPr>
      <w:r w:rsidRPr="00D960D6">
        <w:t xml:space="preserve">За отключение добросовестных потребителей, </w:t>
      </w:r>
      <w:proofErr w:type="spellStart"/>
      <w:r w:rsidRPr="00D960D6">
        <w:t>энергопринимающие</w:t>
      </w:r>
      <w:proofErr w:type="spellEnd"/>
      <w:r w:rsidRPr="00D960D6">
        <w:t xml:space="preserve"> устройства которых опосредованно присоединены к электрическим сетям сетевой организации через объекты электросетевого хозяйства Абонента, Абонент уплачивает ЭСО неустойку в размере 100 минимальных размеров оплаты труда.</w:t>
      </w:r>
    </w:p>
    <w:p w14:paraId="164F4938" w14:textId="77777777" w:rsidR="00E5577C" w:rsidRPr="00D960D6" w:rsidRDefault="00E5577C" w:rsidP="000D1C6B">
      <w:pPr>
        <w:pStyle w:val="2"/>
      </w:pPr>
      <w:r w:rsidRPr="00D960D6">
        <w:t>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Абонент уплачивает ЭСО штраф в размере 100 минимальных размеров оплаты труда.</w:t>
      </w:r>
    </w:p>
    <w:p w14:paraId="7AB89519" w14:textId="336EEDF0" w:rsidR="00E5577C" w:rsidRPr="00D960D6" w:rsidRDefault="00E5577C" w:rsidP="000D1C6B">
      <w:pPr>
        <w:pStyle w:val="2"/>
      </w:pPr>
      <w:r w:rsidRPr="00D960D6">
        <w:t>Абонент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w:t>
      </w:r>
      <w:r w:rsidR="005A531C">
        <w:t>,</w:t>
      </w:r>
      <w:r w:rsidRPr="00D960D6">
        <w:t xml:space="preserve">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6742CDEE" w:rsidR="00C90442" w:rsidRPr="00A36876" w:rsidRDefault="00C90442" w:rsidP="00A939B7">
      <w:bookmarkStart w:id="10" w:name="dst1884"/>
      <w:bookmarkEnd w:id="10"/>
      <w:r w:rsidRPr="00A36876">
        <w:t xml:space="preserve">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заключения потребителем электрической энергии договора энергоснабжения </w:t>
      </w:r>
      <w:r w:rsidR="006D44E6">
        <w:t>ЭСО</w:t>
      </w:r>
      <w:r w:rsidRPr="00A36876">
        <w:t xml:space="preserve">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 </w:t>
      </w:r>
    </w:p>
    <w:p w14:paraId="3BB0F6B0" w14:textId="2EFE2EDB"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абоненту,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810AB3">
        <w:rPr>
          <w:shd w:val="clear" w:color="auto" w:fill="FFFFFF"/>
        </w:rPr>
        <w:t>Абонента</w:t>
      </w:r>
      <w:r w:rsidRPr="00A36876">
        <w:rPr>
          <w:shd w:val="clear" w:color="auto" w:fill="FFFFFF"/>
        </w:rPr>
        <w:t xml:space="preserve">, направленной не ранее истечения указанного </w:t>
      </w:r>
      <w:r w:rsidRPr="00A36876">
        <w:rPr>
          <w:shd w:val="clear" w:color="auto" w:fill="FFFFFF"/>
        </w:rPr>
        <w:lastRenderedPageBreak/>
        <w:t xml:space="preserve">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810AB3">
        <w:rPr>
          <w:shd w:val="clear" w:color="auto" w:fill="FFFFFF"/>
        </w:rPr>
        <w:t>Абонента</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77777777" w:rsidR="00E5577C" w:rsidRPr="004F4E69" w:rsidRDefault="00E5577C" w:rsidP="00AF426E">
      <w:pPr>
        <w:pStyle w:val="2"/>
      </w:pPr>
      <w:r w:rsidRPr="004F4E69">
        <w:t>Нарушение Абонентом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6858485F" w:rsidR="00E5577C" w:rsidRPr="00D960D6" w:rsidRDefault="00E5577C" w:rsidP="00AF426E">
      <w:pPr>
        <w:pStyle w:val="2"/>
      </w:pPr>
      <w:r w:rsidRPr="00D960D6">
        <w:t xml:space="preserve">Отказ Абонента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A34A3">
        <w:t>Абонентом</w:t>
      </w:r>
      <w:r w:rsidR="00547DE7" w:rsidRPr="00D960D6">
        <w:t xml:space="preserve"> своих обязательств.</w:t>
      </w:r>
      <w:r w:rsidR="006F789B">
        <w:t xml:space="preserve"> </w:t>
      </w:r>
    </w:p>
    <w:p w14:paraId="76E73A76" w14:textId="5B3459C9" w:rsidR="00827255"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810AB3">
        <w:t>Абонента</w:t>
      </w:r>
      <w:r w:rsidRPr="00D960D6">
        <w:t xml:space="preserve"> по настоящему договору не освобождает </w:t>
      </w:r>
      <w:r w:rsidR="00810AB3">
        <w:t>Абонента</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сти за ненадлежащее исполнение Абонентом</w:t>
      </w:r>
      <w:r w:rsidRPr="00D960D6">
        <w:t xml:space="preserve"> </w:t>
      </w:r>
      <w:r w:rsidR="000C217E">
        <w:t>своих обязательств по договору</w:t>
      </w:r>
      <w:r w:rsidR="00827255">
        <w:t>.</w:t>
      </w:r>
    </w:p>
    <w:p w14:paraId="02654B8A" w14:textId="77777777" w:rsidR="00827255" w:rsidRPr="00497653" w:rsidRDefault="00827255" w:rsidP="00827255">
      <w:pPr>
        <w:pStyle w:val="2"/>
        <w:numPr>
          <w:ilvl w:val="1"/>
          <w:numId w:val="2"/>
        </w:numPr>
        <w:ind w:left="0"/>
      </w:pPr>
      <w:r w:rsidRPr="00497653">
        <w:t>При введении ограничения режима потребления Абонента,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частичное ограничение режима потребления вводится не ниже уровня аварийной брони.</w:t>
      </w:r>
    </w:p>
    <w:p w14:paraId="030FA69B" w14:textId="77777777" w:rsidR="00827255" w:rsidRPr="00497653" w:rsidRDefault="00827255" w:rsidP="00827255">
      <w:r w:rsidRPr="00497653">
        <w:t>Введение в отношении таких потребителей ограничения режима потребления ниже величины аварийной брони не допускается.</w:t>
      </w:r>
    </w:p>
    <w:p w14:paraId="79A68036" w14:textId="1D12019D" w:rsidR="00E5577C" w:rsidRPr="00D960D6" w:rsidRDefault="00827255" w:rsidP="00827255">
      <w:pPr>
        <w:pStyle w:val="2"/>
        <w:numPr>
          <w:ilvl w:val="0"/>
          <w:numId w:val="0"/>
        </w:numPr>
        <w:ind w:firstLine="709"/>
      </w:pPr>
      <w:r w:rsidRPr="00497653">
        <w:t>При этом Абонент, в том числе, ограничение режима потребления которого может привести к возн</w:t>
      </w:r>
      <w:bookmarkStart w:id="11" w:name="_GoBack"/>
      <w:bookmarkEnd w:id="11"/>
      <w:r w:rsidRPr="00497653">
        <w:t>икновению угрозы жизни и здоровью людей, экологической безопасности либо безопасности государства, несет ответственность за последствия, в том числе перед третьими лицами, вызванные применением к нему ограничения режима потребления в соответствии с действующим законодательством.</w:t>
      </w:r>
    </w:p>
    <w:p w14:paraId="03918877" w14:textId="77777777" w:rsidR="00E5577C" w:rsidRPr="00D960D6" w:rsidRDefault="00E5577C" w:rsidP="00AF426E">
      <w:pPr>
        <w:pStyle w:val="2"/>
      </w:pPr>
      <w:r w:rsidRPr="00D960D6">
        <w:t xml:space="preserve">ЭСО не несет ответственности перед Абонентом за отпуск электрической энергии повышенного или пониженного уровня напряжения, если Абонент не выдерживает заданные ЭСО режимы потребления. </w:t>
      </w:r>
    </w:p>
    <w:p w14:paraId="012CDFA0" w14:textId="77777777" w:rsidR="00E5577C" w:rsidRPr="00D960D6" w:rsidRDefault="00E5577C" w:rsidP="00AF426E">
      <w:pPr>
        <w:pStyle w:val="2"/>
      </w:pPr>
      <w:r w:rsidRPr="00D960D6">
        <w:t xml:space="preserve">ЭСО не несет ответственности перед Абонентом за </w:t>
      </w:r>
      <w:proofErr w:type="spellStart"/>
      <w:r w:rsidRPr="00D960D6">
        <w:t>недоотпуск</w:t>
      </w:r>
      <w:proofErr w:type="spellEnd"/>
      <w:r w:rsidRPr="00D960D6">
        <w:t xml:space="preserve">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77777777" w:rsidR="00E5577C" w:rsidRPr="00D960D6" w:rsidRDefault="00E5577C" w:rsidP="004A24D2">
      <w:pPr>
        <w:pStyle w:val="a"/>
      </w:pPr>
      <w:r w:rsidRPr="00D960D6">
        <w:t xml:space="preserve">виной самого Абонента, в </w:t>
      </w:r>
      <w:proofErr w:type="spellStart"/>
      <w:r w:rsidRPr="00D960D6">
        <w:t>т.ч</w:t>
      </w:r>
      <w:proofErr w:type="spellEnd"/>
      <w:r w:rsidRPr="00D960D6">
        <w:t xml:space="preserve">. невыполнением им предписания ЭСО в указанный срок, а также при несоответствии схемы электроснабжения </w:t>
      </w:r>
      <w:proofErr w:type="spellStart"/>
      <w:r w:rsidRPr="00D960D6">
        <w:t>категорийности</w:t>
      </w:r>
      <w:proofErr w:type="spellEnd"/>
      <w:r w:rsidRPr="00D960D6">
        <w:t xml:space="preserve"> токоприемников Абонента и </w:t>
      </w:r>
      <w:proofErr w:type="spellStart"/>
      <w:r w:rsidRPr="00D960D6">
        <w:t>субабонентов</w:t>
      </w:r>
      <w:proofErr w:type="spellEnd"/>
      <w:r w:rsidRPr="00D960D6">
        <w:t>;</w:t>
      </w:r>
    </w:p>
    <w:p w14:paraId="6952F467" w14:textId="77777777" w:rsidR="00E5577C" w:rsidRPr="00D960D6" w:rsidRDefault="00E5577C" w:rsidP="004A24D2">
      <w:pPr>
        <w:pStyle w:val="a"/>
      </w:pPr>
      <w:r w:rsidRPr="00D960D6">
        <w:t>виной сторонней организации;</w:t>
      </w:r>
    </w:p>
    <w:p w14:paraId="2E771173" w14:textId="77777777" w:rsidR="00E5577C" w:rsidRPr="00D960D6" w:rsidRDefault="00E5577C" w:rsidP="004A24D2">
      <w:pPr>
        <w:pStyle w:val="a"/>
      </w:pPr>
      <w:r w:rsidRPr="00D960D6">
        <w:t>правомерным прекращением или ограничением подачи электроэнергии потребителям, через сети которого Абонент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lastRenderedPageBreak/>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4A24D2">
      <w:pPr>
        <w:pStyle w:val="2"/>
      </w:pPr>
      <w:r w:rsidRPr="00D960D6">
        <w:t>В части расчетов договор считается действующим до полного исполнения сторонами обязательств по расчетам.</w:t>
      </w:r>
    </w:p>
    <w:p w14:paraId="57ECC82F" w14:textId="06A52ACC" w:rsidR="00E5577C" w:rsidRPr="00D960D6" w:rsidRDefault="00E5577C" w:rsidP="00BD5D84">
      <w:pPr>
        <w:pStyle w:val="2"/>
      </w:pPr>
      <w:r w:rsidRPr="00D960D6">
        <w:t xml:space="preserve">Началом исполнения обязательств каждой из сторон по настоящему договору будет считаться 00 час. 00 мин. дня, следующего за днем подписания договора в полном объеме. Исполнение обязательств ЭСО по договору энергоснабжения в отношении </w:t>
      </w:r>
      <w:proofErr w:type="spellStart"/>
      <w:r w:rsidRPr="00D960D6">
        <w:t>энергопринимающего</w:t>
      </w:r>
      <w:proofErr w:type="spellEnd"/>
      <w:r w:rsidRPr="00D960D6">
        <w:t xml:space="preserve"> устройства Абонента </w:t>
      </w:r>
      <w:proofErr w:type="gramStart"/>
      <w:r w:rsidRPr="00D960D6">
        <w:t>осуществляется</w:t>
      </w:r>
      <w:proofErr w:type="gramEnd"/>
      <w:r w:rsidRPr="00D960D6">
        <w:t xml:space="preserve"> начиная с указанных в договоре даты и времени, но не ранее даты и времени начала оказания услуг по передаче электрической энергии в отношении такого </w:t>
      </w:r>
      <w:proofErr w:type="spellStart"/>
      <w:r w:rsidRPr="00D960D6">
        <w:t>энергопринимающего</w:t>
      </w:r>
      <w:proofErr w:type="spellEnd"/>
      <w:r w:rsidRPr="00D960D6">
        <w:t xml:space="preserve"> устройства, за и</w:t>
      </w:r>
      <w:r w:rsidR="008712DE">
        <w:t xml:space="preserve">сключением случаев, указанных </w:t>
      </w:r>
      <w:r w:rsidR="00411DE5">
        <w:t>в п. </w:t>
      </w:r>
      <w:r w:rsidR="00411DE5">
        <w:fldChar w:fldCharType="begin"/>
      </w:r>
      <w:r w:rsidR="00411DE5">
        <w:instrText xml:space="preserve"> REF _Ref45890739 \r \h </w:instrText>
      </w:r>
      <w:r w:rsidR="00411DE5">
        <w:fldChar w:fldCharType="separate"/>
      </w:r>
      <w:r w:rsidR="00AB749C">
        <w:t>8.5</w:t>
      </w:r>
      <w:r w:rsidR="00411DE5">
        <w:fldChar w:fldCharType="end"/>
      </w:r>
      <w:r w:rsidR="00411DE5">
        <w:t>, п. </w:t>
      </w:r>
      <w:r w:rsidR="00411DE5">
        <w:fldChar w:fldCharType="begin"/>
      </w:r>
      <w:r w:rsidR="00411DE5">
        <w:instrText xml:space="preserve"> REF _Ref45890742 \r \h </w:instrText>
      </w:r>
      <w:r w:rsidR="00411DE5">
        <w:fldChar w:fldCharType="separate"/>
      </w:r>
      <w:r w:rsidR="00AB749C">
        <w:t>8.7</w:t>
      </w:r>
      <w:r w:rsidR="00411DE5">
        <w:fldChar w:fldCharType="end"/>
      </w:r>
      <w:r w:rsidR="00F138E2" w:rsidRPr="008712DE">
        <w:rPr>
          <w:color w:val="000000" w:themeColor="text1"/>
        </w:rPr>
        <w:t xml:space="preserve"> </w:t>
      </w:r>
      <w:r w:rsidRPr="00D960D6">
        <w:t>настоящего договора.</w:t>
      </w:r>
    </w:p>
    <w:p w14:paraId="31C893E2" w14:textId="1AEB9C35" w:rsidR="00E5577C" w:rsidRPr="00D960D6" w:rsidRDefault="00E5577C" w:rsidP="00BD5D84">
      <w:pPr>
        <w:pStyle w:val="2"/>
      </w:pPr>
      <w:bookmarkStart w:id="12" w:name="_Ref45890739"/>
      <w:r w:rsidRPr="00D960D6">
        <w:t xml:space="preserve">В случае заключения договора энергоснабжения до завершения процедуры технологического присоединения </w:t>
      </w:r>
      <w:proofErr w:type="spellStart"/>
      <w:r w:rsidRPr="00D960D6">
        <w:t>энергопринимающих</w:t>
      </w:r>
      <w:proofErr w:type="spellEnd"/>
      <w:r w:rsidRPr="00D960D6">
        <w:t xml:space="preserve"> устройств - с даты фактической подачи сетевой организацией напряжения и мощности на объекты Абонента, соответствующей дате фактического присоединения, указанной в акте об осуществлении технологического присоединения.</w:t>
      </w:r>
      <w:bookmarkEnd w:id="12"/>
    </w:p>
    <w:p w14:paraId="76DE12A6" w14:textId="77777777" w:rsidR="00E5577C" w:rsidRPr="00D960D6" w:rsidRDefault="00E5577C" w:rsidP="00BD5D84">
      <w:pPr>
        <w:pStyle w:val="2"/>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32FF6A59" w:rsidR="00E5577C" w:rsidRPr="00D960D6" w:rsidRDefault="00E5577C" w:rsidP="00BD5D84">
      <w:pPr>
        <w:pStyle w:val="2"/>
      </w:pPr>
      <w:bookmarkStart w:id="13" w:name="_Ref45890742"/>
      <w:r w:rsidRPr="00D960D6">
        <w:t xml:space="preserve">В случае, если в отношении </w:t>
      </w:r>
      <w:proofErr w:type="spellStart"/>
      <w:r w:rsidRPr="00D960D6">
        <w:t>энергопринимающих</w:t>
      </w:r>
      <w:proofErr w:type="spellEnd"/>
      <w:r w:rsidRPr="00D960D6">
        <w:t xml:space="preserve">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810AB3">
        <w:t>Абонентом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3"/>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77777777" w:rsidR="00E5577C" w:rsidRPr="00D960D6" w:rsidRDefault="00E5577C" w:rsidP="00BD5D84">
      <w:pPr>
        <w:pStyle w:val="2"/>
      </w:pPr>
      <w:r w:rsidRPr="00D960D6">
        <w:t>Абонент,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77777777" w:rsidR="00E5577C" w:rsidRPr="00D960D6" w:rsidRDefault="00E5577C" w:rsidP="00BD5D84">
      <w:pPr>
        <w:pStyle w:val="2"/>
      </w:pPr>
      <w:r w:rsidRPr="00D960D6">
        <w:t>В случае обращения Абонента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77777777" w:rsidR="00E5577C" w:rsidRPr="00D960D6" w:rsidRDefault="00E5577C" w:rsidP="00BD5D84">
      <w:pPr>
        <w:pStyle w:val="2"/>
      </w:pPr>
      <w:r w:rsidRPr="00D960D6">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Абонентом соответствующего уведомления от ЭСО. При </w:t>
      </w:r>
      <w:proofErr w:type="spellStart"/>
      <w:r w:rsidRPr="00D960D6">
        <w:t>недостижении</w:t>
      </w:r>
      <w:proofErr w:type="spellEnd"/>
      <w:r w:rsidRPr="00D960D6">
        <w:t xml:space="preserve">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77777777" w:rsidR="00E5577C" w:rsidRPr="00D960D6" w:rsidRDefault="00E5577C" w:rsidP="00BD5D84">
      <w:pPr>
        <w:pStyle w:val="2"/>
      </w:pPr>
      <w:r w:rsidRPr="00D960D6">
        <w:lastRenderedPageBreak/>
        <w:t xml:space="preserve">Абонент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Абонента, а также других реквизитов и обстоятельств, влияющих на надлежащее исполнение договора, с предоставлением соответствующих документов. </w:t>
      </w:r>
    </w:p>
    <w:p w14:paraId="31F6D49A" w14:textId="77777777" w:rsidR="00E5577C" w:rsidRPr="00D960D6" w:rsidRDefault="00E5577C" w:rsidP="00BD5D84">
      <w:pPr>
        <w:pStyle w:val="2"/>
      </w:pPr>
      <w:bookmarkStart w:id="14" w:name="_Ref45890850"/>
      <w:r w:rsidRPr="00D960D6">
        <w:t xml:space="preserve">Абонент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Pr="00D960D6">
        <w:t xml:space="preserve"> стоимость потребленной электрической энергии, также выставленный счет, в соответствии с действующим законодательством.</w:t>
      </w:r>
      <w:bookmarkEnd w:id="14"/>
    </w:p>
    <w:p w14:paraId="6546DB74" w14:textId="6CD39C01" w:rsidR="00E5577C" w:rsidRDefault="00E5577C" w:rsidP="001B41D8">
      <w:pPr>
        <w:widowControl w:val="0"/>
      </w:pPr>
      <w:r w:rsidRPr="00D960D6">
        <w:t>Выставленный ЭСО счет должен быть оплачен Абонентом не позднее чем за 10 рабочих дней до заявленной им даты раст</w:t>
      </w:r>
      <w:r w:rsidR="000C217E">
        <w:t>оржения или изменения договора.</w:t>
      </w:r>
    </w:p>
    <w:p w14:paraId="6A5DE43A" w14:textId="77777777" w:rsidR="00C90442" w:rsidRPr="00D960D6" w:rsidRDefault="00C90442" w:rsidP="00A939B7">
      <w:r w:rsidRPr="00653D6C">
        <w:t xml:space="preserve">Для осуществления окончательных расчетов </w:t>
      </w:r>
      <w:r w:rsidR="006D44E6">
        <w:t>Абонент</w:t>
      </w:r>
      <w:r w:rsidRPr="00653D6C">
        <w:t xml:space="preserve"> обязан предоставить ЭСО показания расчетных приборов учета на дату расторжения или изменения договора</w:t>
      </w:r>
      <w:r>
        <w:t>.</w:t>
      </w:r>
    </w:p>
    <w:p w14:paraId="2F098546" w14:textId="77777777"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 </w:t>
      </w:r>
    </w:p>
    <w:p w14:paraId="1B4AA01B" w14:textId="19118963" w:rsidR="00E5577C" w:rsidRPr="00D960D6" w:rsidRDefault="00E5577C" w:rsidP="00BD5D84">
      <w:pPr>
        <w:pStyle w:val="2"/>
      </w:pPr>
      <w:r w:rsidRPr="00D960D6">
        <w:t xml:space="preserve">В случае, если </w:t>
      </w:r>
      <w:r w:rsidR="008712DE">
        <w:t>А</w:t>
      </w:r>
      <w:r w:rsidRPr="00D960D6">
        <w:t>бонентом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AB749C">
        <w:t>8.13</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 xml:space="preserve">электрической энергии на основании </w:t>
      </w:r>
      <w:proofErr w:type="spellStart"/>
      <w:r w:rsidRPr="00D960D6">
        <w:t>пп</w:t>
      </w:r>
      <w:proofErr w:type="spellEnd"/>
      <w:r w:rsidRPr="00D960D6">
        <w:t>.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г., без предварительного уведомления Абонента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14:paraId="18ECDED6" w14:textId="77777777" w:rsidR="00E5577C" w:rsidRPr="00D960D6" w:rsidRDefault="00E5577C" w:rsidP="00A77077">
      <w:pPr>
        <w:pStyle w:val="a"/>
      </w:pPr>
      <w:r w:rsidRPr="00D960D6">
        <w:t xml:space="preserve">с даты расторжения настоящего договора, указанной в заявлении Абонента о расторжении договора, </w:t>
      </w:r>
    </w:p>
    <w:p w14:paraId="522D85F7" w14:textId="77777777"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14:paraId="377946D9" w14:textId="77777777" w:rsidR="00E5577C" w:rsidRPr="00D960D6" w:rsidRDefault="00E5577C" w:rsidP="00A77077">
      <w:pPr>
        <w:pStyle w:val="a"/>
      </w:pPr>
      <w:r w:rsidRPr="00D960D6">
        <w:t>в течение 5 рабочих дней с даты поступления заявления о расторжении от Абонента в ЭСО, если в заявлении о его расторжении настоящего договора не указана дата его расторжения.</w:t>
      </w:r>
    </w:p>
    <w:p w14:paraId="429FBECF" w14:textId="77777777" w:rsidR="00E5577C" w:rsidRPr="00D960D6" w:rsidRDefault="00E5577C" w:rsidP="00A939B7">
      <w:r w:rsidRPr="00D960D6">
        <w:t>В случае, если между датой поступления от Абонента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Абонента о введении ограничения режима потребления электрической энергии.</w:t>
      </w:r>
    </w:p>
    <w:p w14:paraId="0567EC16" w14:textId="77777777" w:rsidR="00AB46E9" w:rsidRPr="00D960D6" w:rsidRDefault="00E5577C" w:rsidP="00A939B7">
      <w:pPr>
        <w:pStyle w:val="a5"/>
      </w:pPr>
      <w:r w:rsidRPr="00D960D6">
        <w:t>Порядок, указанный в настоящем пункте,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w:t>
      </w:r>
    </w:p>
    <w:p w14:paraId="7ED8B625" w14:textId="77777777"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14:paraId="5AD0A572" w14:textId="663AEA3C" w:rsidR="00E5577C" w:rsidRPr="00D960D6" w:rsidRDefault="00E5577C" w:rsidP="00BD5D84">
      <w:pPr>
        <w:pStyle w:val="2"/>
      </w:pPr>
      <w:r w:rsidRPr="00D960D6">
        <w:t xml:space="preserve">В случаях смены собственника или владельца </w:t>
      </w:r>
      <w:proofErr w:type="spellStart"/>
      <w:r w:rsidRPr="00D960D6">
        <w:t>энергопринимающего</w:t>
      </w:r>
      <w:proofErr w:type="spellEnd"/>
      <w:r w:rsidRPr="00D960D6">
        <w:t xml:space="preserve"> устройства</w:t>
      </w:r>
      <w:r w:rsidRPr="00D960D6">
        <w:rPr>
          <w:rFonts w:ascii="Arial" w:hAnsi="Arial" w:cs="Arial"/>
        </w:rPr>
        <w:t xml:space="preserve">, </w:t>
      </w:r>
      <w:r w:rsidRPr="00D960D6">
        <w:t xml:space="preserve">объектов электросетевого хозяйства Абонента, если при этом в отношении таких </w:t>
      </w:r>
      <w:proofErr w:type="spellStart"/>
      <w:r w:rsidRPr="00D960D6">
        <w:t>энергопринимающих</w:t>
      </w:r>
      <w:proofErr w:type="spellEnd"/>
      <w:r w:rsidRPr="00D960D6">
        <w:t xml:space="preserve"> устройств не заключен и не вступил в силу новый договор энергоснабжения, ЭСО вправе в одностороннем порядке расторгнуть договор или изменить его условия. Договор считается расторгнутым (измененным) с момента получения Абонентом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77777777" w:rsidR="00E5577C" w:rsidRPr="00D960D6" w:rsidRDefault="00E5577C" w:rsidP="00BD5D84">
      <w:pPr>
        <w:pStyle w:val="2"/>
      </w:pPr>
      <w:r w:rsidRPr="00D960D6">
        <w:t>Изменение (расторжение) настоящего договора не освобождает стороны от взаимных расчетов за поставленную электроэнергию. При этом Абонент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lastRenderedPageBreak/>
        <w:t>Иные условия договора</w:t>
      </w:r>
    </w:p>
    <w:p w14:paraId="655D525B" w14:textId="77777777" w:rsidR="00E5577C" w:rsidRPr="00D960D6" w:rsidRDefault="00E5577C" w:rsidP="00BD5D84">
      <w:pPr>
        <w:pStyle w:val="2"/>
      </w:pPr>
      <w:r w:rsidRPr="00D960D6">
        <w:t>ЭСО предварительно (не позднее, чем за 10 дней до заявляемой им даты введения ограничения режима потребления) направляет Абоненту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3"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77B449B9"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Pr="00D960D6">
        <w:rPr>
          <w:color w:val="000000" w:themeColor="text1"/>
        </w:rPr>
        <w:t>Абонента</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5"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5"/>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w:t>
            </w:r>
            <w:proofErr w:type="spellStart"/>
            <w:r w:rsidRPr="00D960D6">
              <w:t>Диадок</w:t>
            </w:r>
            <w:proofErr w:type="spellEnd"/>
            <w:r w:rsidRPr="00D960D6">
              <w:t>»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12B705B9" w:rsidR="00891443" w:rsidRPr="00D960D6" w:rsidRDefault="00891443" w:rsidP="00A939B7">
      <w:pPr>
        <w:pStyle w:val="3"/>
      </w:pPr>
      <w:r w:rsidRPr="00D960D6">
        <w:t>вручение уведомления Абоненту под расписку,</w:t>
      </w:r>
    </w:p>
    <w:p w14:paraId="20C4424F" w14:textId="1D833138" w:rsidR="00891443" w:rsidRPr="00D960D6" w:rsidRDefault="00891443" w:rsidP="00A939B7">
      <w:pPr>
        <w:pStyle w:val="3"/>
      </w:pPr>
      <w:r w:rsidRPr="00D960D6">
        <w:t xml:space="preserve">направление заказным почтовым отправлением с уведомлением о вручении. </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AB749C">
        <w:t>9.1.4</w:t>
      </w:r>
      <w:r w:rsidR="00DC63E9">
        <w:fldChar w:fldCharType="end"/>
      </w:r>
      <w:r w:rsidR="00DC63E9">
        <w:t>.</w:t>
      </w:r>
    </w:p>
    <w:p w14:paraId="76E38624" w14:textId="77777777"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Pr="00D960D6">
        <w:t>Абоненту.</w:t>
      </w:r>
      <w:r w:rsidR="008772A4" w:rsidRPr="00D960D6">
        <w:t xml:space="preserve"> </w:t>
      </w:r>
    </w:p>
    <w:p w14:paraId="119E19F4" w14:textId="77777777" w:rsidR="008772A4" w:rsidRPr="00D960D6" w:rsidRDefault="00E5577C" w:rsidP="00BD5D84">
      <w:pPr>
        <w:pStyle w:val="2"/>
      </w:pPr>
      <w:r w:rsidRPr="00D960D6">
        <w:t>Абонент обязан получать поступившие в его адрес, указанный в договоре,</w:t>
      </w:r>
      <w:r w:rsidR="008772A4" w:rsidRPr="00D960D6">
        <w:t xml:space="preserve"> почтовые отправления ЭСО.</w:t>
      </w:r>
    </w:p>
    <w:p w14:paraId="79565751" w14:textId="77777777" w:rsidR="00E5577C" w:rsidRPr="00D960D6" w:rsidRDefault="00E5577C" w:rsidP="00BD5D84">
      <w:pPr>
        <w:pStyle w:val="2"/>
      </w:pPr>
      <w:r w:rsidRPr="00D960D6">
        <w:t>Датой получения почтовой корреспонденции Абонентом является одна из ранее наступивших дат:</w:t>
      </w:r>
    </w:p>
    <w:p w14:paraId="0060A8AE" w14:textId="55A03B19" w:rsidR="00E5577C" w:rsidRPr="00D960D6" w:rsidRDefault="00891443" w:rsidP="00A939B7">
      <w:pPr>
        <w:pStyle w:val="3"/>
      </w:pPr>
      <w:r w:rsidRPr="00D960D6">
        <w:t>д</w:t>
      </w:r>
      <w:r w:rsidR="0091300F" w:rsidRPr="00D960D6">
        <w:t xml:space="preserve">ата </w:t>
      </w:r>
      <w:r w:rsidR="00E5577C" w:rsidRPr="00D960D6">
        <w:t>фактического получения корреспонденции Абонентом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lastRenderedPageBreak/>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AB749C">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77777777" w:rsidR="00E5577C" w:rsidRPr="00D960D6" w:rsidRDefault="00E5577C" w:rsidP="00BD5D84">
      <w:pPr>
        <w:pStyle w:val="2"/>
      </w:pPr>
      <w:r w:rsidRPr="00D960D6">
        <w:t>Все технические и иные характеристики объектов электроснабжения Абонента,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A939B7">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A939B7">
      <w:r w:rsidRPr="00D960D6">
        <w:t>Приложение №2 - акт об осуществлении технологического присоединения;</w:t>
      </w:r>
    </w:p>
    <w:p w14:paraId="0B4D139E" w14:textId="161600BB" w:rsidR="00E5577C" w:rsidRPr="00D960D6" w:rsidRDefault="00BF7D45" w:rsidP="00A939B7">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7777777" w:rsidR="00E5577C" w:rsidRPr="00D960D6" w:rsidRDefault="00E5577C" w:rsidP="00BD5D84">
      <w:pPr>
        <w:pStyle w:val="2"/>
      </w:pPr>
      <w:r w:rsidRPr="00D960D6">
        <w:t>Данный договор составлен в 2-х экземплярах, один из которых находится у ЭСО, а другой – у Абонента.</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 xml:space="preserve">АО «Барнаульская </w:t>
      </w:r>
      <w:proofErr w:type="spellStart"/>
      <w:r w:rsidRPr="00D960D6">
        <w:t>горэлектросеть</w:t>
      </w:r>
      <w:proofErr w:type="spellEnd"/>
      <w:r w:rsidRPr="00D960D6">
        <w:t>»</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3610FC" w:rsidP="00A939B7">
      <w:pPr>
        <w:rPr>
          <w:rStyle w:val="af1"/>
        </w:rPr>
      </w:pPr>
      <w:hyperlink r:id="rId14"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3610FC" w:rsidP="00A939B7">
      <w:hyperlink r:id="rId15"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3359EC29" w14:textId="77777777" w:rsidR="00697C14" w:rsidRDefault="00697C14" w:rsidP="00A939B7"/>
    <w:p w14:paraId="0749C1A2" w14:textId="77777777" w:rsidR="00697C14" w:rsidRDefault="00697C14" w:rsidP="00697C14">
      <w:r>
        <w:t>________________________________________________________</w:t>
      </w:r>
    </w:p>
    <w:p w14:paraId="33962078" w14:textId="77777777" w:rsidR="00697C14" w:rsidRDefault="00697C14" w:rsidP="00697C14">
      <w:r>
        <w:t>________________________________________________________</w:t>
      </w:r>
    </w:p>
    <w:p w14:paraId="21687369" w14:textId="77777777" w:rsidR="00697C14" w:rsidRDefault="00697C14" w:rsidP="00697C14">
      <w:r>
        <w:t>________________________________________________________</w:t>
      </w:r>
    </w:p>
    <w:p w14:paraId="3F20587D" w14:textId="77777777" w:rsidR="00697C14" w:rsidRPr="00D960D6" w:rsidRDefault="00697C14" w:rsidP="00697C14">
      <w:r>
        <w:t>________________________________________________________</w:t>
      </w:r>
    </w:p>
    <w:p w14:paraId="1BC59DF7" w14:textId="77777777" w:rsidR="00697C14" w:rsidRPr="00D960D6" w:rsidRDefault="00697C14" w:rsidP="00A939B7"/>
    <w:p w14:paraId="07185579" w14:textId="77777777" w:rsidR="00E5577C" w:rsidRPr="00D960D6" w:rsidRDefault="00E5577C" w:rsidP="00514EA4">
      <w:pPr>
        <w:pStyle w:val="2"/>
        <w:numPr>
          <w:ilvl w:val="0"/>
          <w:numId w:val="0"/>
        </w:numPr>
        <w:spacing w:before="240"/>
        <w:ind w:left="709"/>
      </w:pPr>
      <w:r w:rsidRPr="00D960D6">
        <w:t>Абонент:</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lastRenderedPageBreak/>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77777777" w:rsidR="00E5577C" w:rsidRDefault="00E5577C" w:rsidP="00A939B7">
      <w:r w:rsidRPr="00D960D6">
        <w:t xml:space="preserve">Абонента </w:t>
      </w:r>
      <w:proofErr w:type="gramStart"/>
      <w:r w:rsidRPr="00D960D6">
        <w:t xml:space="preserve">– </w:t>
      </w:r>
      <w:fldSimple w:instr=" DOCVARIABLE &quot;ПравоспособностьДокумент&quot; \* MERGEFORMAT ">
        <w:r w:rsidRPr="00D960D6">
          <w:t xml:space="preserve"> </w:t>
        </w:r>
      </w:fldSimple>
      <w:r w:rsidRPr="00D960D6">
        <w:t>№</w:t>
      </w:r>
      <w:proofErr w:type="gramEnd"/>
      <w:r w:rsidRPr="00D960D6">
        <w:t xml:space="preserve"> ____________ от____________</w:t>
      </w:r>
    </w:p>
    <w:p w14:paraId="7CEEAA71" w14:textId="77777777" w:rsidR="00FE5C2B" w:rsidRDefault="00FE5C2B" w:rsidP="00A939B7"/>
    <w:p w14:paraId="088C59D7" w14:textId="77777777" w:rsidR="00D27710" w:rsidRDefault="00D27710" w:rsidP="00A939B7"/>
    <w:p w14:paraId="0B5F4229" w14:textId="77777777" w:rsidR="00D27710" w:rsidRDefault="00D27710" w:rsidP="00A939B7"/>
    <w:p w14:paraId="6D2C5CE7" w14:textId="77777777" w:rsidR="000C217E" w:rsidRDefault="000C217E"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7B212D">
            <w:pPr>
              <w:ind w:firstLine="0"/>
              <w:jc w:val="center"/>
            </w:pPr>
            <w:r>
              <w:t>ЭСО</w:t>
            </w:r>
          </w:p>
        </w:tc>
        <w:tc>
          <w:tcPr>
            <w:tcW w:w="1394" w:type="dxa"/>
          </w:tcPr>
          <w:p w14:paraId="06252A13" w14:textId="77777777" w:rsidR="0052359C" w:rsidRDefault="0052359C" w:rsidP="007B212D">
            <w:pPr>
              <w:ind w:firstLine="0"/>
              <w:jc w:val="center"/>
            </w:pPr>
          </w:p>
        </w:tc>
        <w:tc>
          <w:tcPr>
            <w:tcW w:w="4289" w:type="dxa"/>
          </w:tcPr>
          <w:p w14:paraId="5ACBBD71" w14:textId="77777777" w:rsidR="0052359C" w:rsidRDefault="0052359C" w:rsidP="007B212D">
            <w:pPr>
              <w:ind w:firstLine="0"/>
              <w:jc w:val="center"/>
            </w:pPr>
            <w:r>
              <w:t>Абонент</w:t>
            </w:r>
          </w:p>
        </w:tc>
      </w:tr>
      <w:tr w:rsidR="0052359C" w14:paraId="5685421D" w14:textId="77777777" w:rsidTr="001B41D8">
        <w:trPr>
          <w:jc w:val="center"/>
        </w:trPr>
        <w:tc>
          <w:tcPr>
            <w:tcW w:w="4289" w:type="dxa"/>
          </w:tcPr>
          <w:p w14:paraId="1C6CB8BF" w14:textId="77777777" w:rsidR="0052359C" w:rsidRDefault="0052359C" w:rsidP="007B212D">
            <w:pPr>
              <w:ind w:firstLine="0"/>
              <w:jc w:val="center"/>
            </w:pPr>
          </w:p>
          <w:p w14:paraId="11F83DAC" w14:textId="77777777" w:rsidR="0052359C" w:rsidRDefault="0052359C" w:rsidP="007B212D">
            <w:pPr>
              <w:ind w:firstLine="0"/>
              <w:jc w:val="center"/>
            </w:pPr>
            <w:r>
              <w:t>____________________________</w:t>
            </w:r>
          </w:p>
          <w:p w14:paraId="7B62B17E" w14:textId="77777777" w:rsidR="0052359C" w:rsidRDefault="0052359C" w:rsidP="007B212D">
            <w:pPr>
              <w:ind w:firstLine="0"/>
              <w:jc w:val="center"/>
            </w:pPr>
          </w:p>
          <w:p w14:paraId="14402FF4" w14:textId="77777777" w:rsidR="0052359C" w:rsidRDefault="0052359C" w:rsidP="007B212D">
            <w:pPr>
              <w:ind w:firstLine="0"/>
              <w:jc w:val="center"/>
            </w:pPr>
            <w:r>
              <w:t>«_____» ________________ 2020 г.</w:t>
            </w:r>
          </w:p>
          <w:p w14:paraId="7D7C5CCF" w14:textId="77777777" w:rsidR="0052359C" w:rsidRDefault="0052359C" w:rsidP="007B212D">
            <w:pPr>
              <w:ind w:firstLine="0"/>
              <w:jc w:val="center"/>
            </w:pPr>
          </w:p>
          <w:p w14:paraId="270161BE" w14:textId="77777777" w:rsidR="0052359C" w:rsidRDefault="0052359C" w:rsidP="000C217E">
            <w:pPr>
              <w:ind w:firstLine="0"/>
              <w:jc w:val="center"/>
            </w:pPr>
            <w:proofErr w:type="spellStart"/>
            <w:r>
              <w:t>м.п</w:t>
            </w:r>
            <w:proofErr w:type="spellEnd"/>
            <w:r>
              <w:t>.</w:t>
            </w:r>
          </w:p>
        </w:tc>
        <w:tc>
          <w:tcPr>
            <w:tcW w:w="1394" w:type="dxa"/>
          </w:tcPr>
          <w:p w14:paraId="7B0F8944" w14:textId="77777777" w:rsidR="0052359C" w:rsidRDefault="0052359C" w:rsidP="007B212D">
            <w:pPr>
              <w:ind w:firstLine="0"/>
              <w:jc w:val="center"/>
            </w:pPr>
          </w:p>
        </w:tc>
        <w:tc>
          <w:tcPr>
            <w:tcW w:w="4289" w:type="dxa"/>
          </w:tcPr>
          <w:p w14:paraId="1E11EE57" w14:textId="77777777" w:rsidR="0052359C" w:rsidRDefault="0052359C" w:rsidP="007B212D">
            <w:pPr>
              <w:ind w:firstLine="0"/>
              <w:jc w:val="center"/>
            </w:pPr>
          </w:p>
          <w:p w14:paraId="30F1442B" w14:textId="77777777" w:rsidR="0052359C" w:rsidRDefault="0052359C" w:rsidP="007B212D">
            <w:pPr>
              <w:ind w:firstLine="0"/>
              <w:jc w:val="center"/>
            </w:pPr>
            <w:r>
              <w:t>____________________________</w:t>
            </w:r>
          </w:p>
          <w:p w14:paraId="32D0E0D1" w14:textId="77777777" w:rsidR="0052359C" w:rsidRDefault="0052359C" w:rsidP="007B212D">
            <w:pPr>
              <w:ind w:firstLine="0"/>
              <w:jc w:val="center"/>
            </w:pPr>
          </w:p>
          <w:p w14:paraId="124D7870" w14:textId="77777777" w:rsidR="0052359C" w:rsidRDefault="0052359C" w:rsidP="007B212D">
            <w:pPr>
              <w:ind w:firstLine="0"/>
              <w:jc w:val="center"/>
            </w:pPr>
            <w:r>
              <w:t>«_____» ________________ 2020 г.</w:t>
            </w:r>
          </w:p>
          <w:p w14:paraId="4112113E" w14:textId="77777777" w:rsidR="0052359C" w:rsidRDefault="0052359C" w:rsidP="007B212D">
            <w:pPr>
              <w:ind w:firstLine="0"/>
              <w:jc w:val="center"/>
            </w:pPr>
          </w:p>
          <w:p w14:paraId="6D2C45F9" w14:textId="77777777" w:rsidR="0052359C" w:rsidRDefault="0052359C" w:rsidP="000C217E">
            <w:pPr>
              <w:ind w:firstLine="0"/>
              <w:jc w:val="center"/>
            </w:pPr>
            <w:proofErr w:type="spellStart"/>
            <w:r>
              <w:t>м.п</w:t>
            </w:r>
            <w:proofErr w:type="spellEnd"/>
            <w:r>
              <w:t>.</w:t>
            </w:r>
          </w:p>
        </w:tc>
      </w:tr>
    </w:tbl>
    <w:p w14:paraId="514638A9" w14:textId="77777777" w:rsidR="0052359C" w:rsidRDefault="0052359C" w:rsidP="00A939B7"/>
    <w:p w14:paraId="0DF89B57" w14:textId="77777777" w:rsidR="00F31EF5" w:rsidRDefault="00F31EF5" w:rsidP="00A939B7">
      <w:pPr>
        <w:sectPr w:rsidR="00F31EF5" w:rsidSect="00AB749C">
          <w:footerReference w:type="default" r:id="rId16"/>
          <w:pgSz w:w="12240" w:h="15840"/>
          <w:pgMar w:top="675" w:right="1134" w:bottom="568" w:left="1134" w:header="709" w:footer="436"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77777777" w:rsidR="00F31EF5" w:rsidRDefault="00F31EF5" w:rsidP="00FE5C2B">
      <w:pPr>
        <w:ind w:firstLine="0"/>
        <w:jc w:val="right"/>
      </w:pPr>
      <w:r>
        <w:t>от _______________ г.</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13660" w:type="dxa"/>
        <w:jc w:val="center"/>
        <w:tblLayout w:type="fixed"/>
        <w:tblCellMar>
          <w:left w:w="28" w:type="dxa"/>
          <w:right w:w="28" w:type="dxa"/>
        </w:tblCellMar>
        <w:tblLook w:val="04A0" w:firstRow="1" w:lastRow="0" w:firstColumn="1" w:lastColumn="0" w:noHBand="0" w:noVBand="1"/>
      </w:tblPr>
      <w:tblGrid>
        <w:gridCol w:w="1134"/>
        <w:gridCol w:w="3515"/>
        <w:gridCol w:w="5552"/>
        <w:gridCol w:w="1758"/>
        <w:gridCol w:w="1701"/>
      </w:tblGrid>
      <w:tr w:rsidR="000F62BE" w14:paraId="28F1E1AB"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0F62BE" w:rsidRDefault="000F62BE"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0F62BE" w:rsidRDefault="000F62BE" w:rsidP="00FE5C2B">
            <w:pPr>
              <w:ind w:firstLine="0"/>
              <w:jc w:val="center"/>
            </w:pPr>
            <w:r>
              <w:t>Наименование объекта</w:t>
            </w: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0F62BE" w:rsidRDefault="000F62BE"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77777777" w:rsidR="000F62BE" w:rsidRDefault="000F62BE"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ED1549" w14:textId="77777777" w:rsidR="000F62BE" w:rsidRDefault="000F62BE" w:rsidP="00FE5C2B">
            <w:pPr>
              <w:ind w:firstLine="0"/>
              <w:jc w:val="center"/>
            </w:pPr>
            <w:r>
              <w:t>Уровень напряжения</w:t>
            </w:r>
          </w:p>
        </w:tc>
      </w:tr>
      <w:tr w:rsidR="000F62BE" w14:paraId="5CEE1B04"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0F62BE" w:rsidRDefault="000F62BE"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0F62BE" w:rsidRDefault="000F62BE" w:rsidP="00FE5C2B">
            <w:pPr>
              <w:ind w:firstLine="0"/>
            </w:pP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0F62BE" w:rsidRDefault="000F62BE"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77777777" w:rsidR="000F62BE" w:rsidRDefault="000F62BE" w:rsidP="00FE5C2B">
            <w:pPr>
              <w:ind w:firstLine="0"/>
            </w:pPr>
          </w:p>
        </w:tc>
        <w:tc>
          <w:tcPr>
            <w:tcW w:w="1701"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97C94F8" w14:textId="77777777" w:rsidR="000F62BE" w:rsidRPr="00A53DFC" w:rsidRDefault="000F62BE" w:rsidP="00FE5C2B">
            <w:pPr>
              <w:ind w:firstLine="0"/>
              <w:rPr>
                <w:sz w:val="18"/>
                <w:szCs w:val="18"/>
              </w:rPr>
            </w:pPr>
            <w:r w:rsidRPr="00A53DFC">
              <w:rPr>
                <w:sz w:val="18"/>
                <w:szCs w:val="18"/>
              </w:rPr>
              <w:t>Определяется в соответствии с актом об осуществлении технологического присоединения электроустановок.</w:t>
            </w:r>
          </w:p>
        </w:tc>
      </w:tr>
      <w:tr w:rsidR="000F62BE" w14:paraId="20E030E6"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0F62BE" w:rsidRDefault="000F62BE"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0F62BE" w:rsidRDefault="000F62BE" w:rsidP="00FE5C2B">
            <w:pPr>
              <w:ind w:firstLine="0"/>
            </w:pP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0F62BE" w:rsidRDefault="000F62BE"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7777777" w:rsidR="000F62BE" w:rsidRDefault="000F62BE"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26E8838" w14:textId="77777777" w:rsidR="000F62BE" w:rsidRPr="00EA7D7C" w:rsidRDefault="000F62BE" w:rsidP="00FE5C2B">
            <w:pPr>
              <w:ind w:firstLine="0"/>
            </w:pPr>
          </w:p>
        </w:tc>
      </w:tr>
      <w:tr w:rsidR="000F62BE" w14:paraId="17E121A0"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0F62BE" w:rsidRDefault="000F62BE"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0F62BE" w:rsidRDefault="000F62BE" w:rsidP="00FE5C2B">
            <w:pPr>
              <w:ind w:firstLine="0"/>
            </w:pP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0F62BE" w:rsidRDefault="000F62BE"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77777777" w:rsidR="000F62BE" w:rsidRDefault="000F62BE"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FF70546" w14:textId="77777777" w:rsidR="000F62BE" w:rsidRPr="00EA7D7C" w:rsidRDefault="000F62BE" w:rsidP="00FE5C2B">
            <w:pPr>
              <w:ind w:firstLine="0"/>
            </w:pPr>
          </w:p>
        </w:tc>
      </w:tr>
      <w:tr w:rsidR="000F62BE" w14:paraId="07D74984"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0F62BE" w:rsidRDefault="000F62BE"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0F62BE" w:rsidRDefault="000F62BE" w:rsidP="00FE5C2B">
            <w:pPr>
              <w:ind w:firstLine="0"/>
            </w:pP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0F62BE" w:rsidRDefault="000F62BE"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77777777" w:rsidR="000F62BE" w:rsidRDefault="000F62BE"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38065810" w14:textId="77777777" w:rsidR="000F62BE" w:rsidRPr="00EA7D7C" w:rsidRDefault="000F62BE" w:rsidP="00FE5C2B">
            <w:pPr>
              <w:ind w:firstLine="0"/>
            </w:pPr>
          </w:p>
        </w:tc>
      </w:tr>
      <w:tr w:rsidR="000F62BE" w14:paraId="4D52E516" w14:textId="77777777" w:rsidTr="000F62BE">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0F62BE" w:rsidRDefault="000F62BE"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0F62BE" w:rsidRDefault="000F62BE" w:rsidP="00FE5C2B">
            <w:pPr>
              <w:ind w:firstLine="0"/>
            </w:pPr>
          </w:p>
        </w:tc>
        <w:tc>
          <w:tcPr>
            <w:tcW w:w="5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0F62BE" w:rsidRDefault="000F62BE"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77777777" w:rsidR="000F62BE" w:rsidRDefault="000F62BE" w:rsidP="00FE5C2B">
            <w:pPr>
              <w:ind w:firstLine="0"/>
            </w:pPr>
          </w:p>
        </w:tc>
        <w:tc>
          <w:tcPr>
            <w:tcW w:w="1701"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1A1334A" w14:textId="77777777" w:rsidR="000F62BE" w:rsidRPr="00EA7D7C" w:rsidRDefault="000F62BE"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77777777" w:rsidR="000048F1" w:rsidRPr="000048F1" w:rsidRDefault="000048F1" w:rsidP="00A53DFC">
      <w:pPr>
        <w:ind w:firstLine="0"/>
        <w:jc w:val="center"/>
      </w:pPr>
      <w:r w:rsidRPr="000048F1">
        <w:t>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447DDF0" w14:textId="77777777" w:rsidR="00656828" w:rsidRPr="000D480E" w:rsidRDefault="00656828" w:rsidP="00656828">
      <w:pPr>
        <w:pStyle w:val="ac"/>
        <w:rPr>
          <w:lang w:eastAsia="ru-RU"/>
        </w:rPr>
      </w:pPr>
      <w:r w:rsidRPr="000D480E">
        <w:rPr>
          <w:lang w:eastAsia="ru-RU"/>
        </w:rPr>
        <w:t xml:space="preserve">* - В случае отсутствия заявленного Абонентом объема, планируемый объем потребления электроэнергии рассчитывается исходя из отношения максимальной мощности </w:t>
      </w:r>
      <w:proofErr w:type="spellStart"/>
      <w:r w:rsidRPr="000D480E">
        <w:rPr>
          <w:lang w:eastAsia="ru-RU"/>
        </w:rPr>
        <w:t>энергопринимающих</w:t>
      </w:r>
      <w:proofErr w:type="spellEnd"/>
      <w:r w:rsidRPr="000D480E">
        <w:rPr>
          <w:lang w:eastAsia="ru-RU"/>
        </w:rPr>
        <w:t xml:space="preserve"> устройств Абонента и коэффициента оплаты мощности, равного 0,002824.</w:t>
      </w:r>
    </w:p>
    <w:p w14:paraId="641A2F01" w14:textId="77777777" w:rsidR="00F31EF5" w:rsidRDefault="00F31EF5" w:rsidP="00A939B7"/>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77777777" w:rsidR="00FA199B" w:rsidRDefault="00FA199B" w:rsidP="00A53DFC">
            <w:pPr>
              <w:ind w:firstLine="0"/>
              <w:jc w:val="center"/>
            </w:pPr>
            <w:r>
              <w:t>Абонент</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77777777" w:rsidR="000D480E" w:rsidRDefault="000D480E" w:rsidP="000D480E">
            <w:pPr>
              <w:ind w:firstLine="0"/>
              <w:jc w:val="center"/>
            </w:pPr>
            <w:r>
              <w:t>____________________________</w:t>
            </w:r>
          </w:p>
          <w:p w14:paraId="7945D735" w14:textId="77777777" w:rsidR="000D480E" w:rsidRDefault="000D480E" w:rsidP="000D480E">
            <w:pPr>
              <w:ind w:firstLine="0"/>
              <w:jc w:val="center"/>
            </w:pPr>
          </w:p>
          <w:p w14:paraId="075DF695" w14:textId="77777777" w:rsidR="000D480E" w:rsidRDefault="000D480E" w:rsidP="000D480E">
            <w:pPr>
              <w:ind w:firstLine="0"/>
              <w:jc w:val="center"/>
            </w:pPr>
            <w:r>
              <w:t>«_____» ________________ 2020 г.</w:t>
            </w:r>
          </w:p>
          <w:p w14:paraId="3AC95C04" w14:textId="77777777" w:rsidR="000D480E" w:rsidRDefault="000D480E" w:rsidP="000D480E">
            <w:pPr>
              <w:ind w:firstLine="0"/>
              <w:jc w:val="center"/>
            </w:pPr>
          </w:p>
          <w:p w14:paraId="59DBCD88" w14:textId="77777777" w:rsidR="000D480E" w:rsidRDefault="000D480E" w:rsidP="000D480E">
            <w:pPr>
              <w:ind w:firstLine="0"/>
              <w:jc w:val="left"/>
            </w:pPr>
            <w:proofErr w:type="spellStart"/>
            <w:r>
              <w:t>м.п</w:t>
            </w:r>
            <w:proofErr w:type="spellEnd"/>
            <w:r>
              <w:t>.</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77777777" w:rsidR="000D480E" w:rsidRDefault="000D480E" w:rsidP="000D480E">
            <w:pPr>
              <w:ind w:firstLine="0"/>
              <w:jc w:val="center"/>
            </w:pPr>
            <w:r>
              <w:t>«_____» ________________ 2020 г.</w:t>
            </w:r>
          </w:p>
          <w:p w14:paraId="6B79E1F6" w14:textId="77777777" w:rsidR="000D480E" w:rsidRDefault="000D480E" w:rsidP="000D480E">
            <w:pPr>
              <w:ind w:firstLine="0"/>
              <w:jc w:val="center"/>
            </w:pPr>
          </w:p>
          <w:p w14:paraId="3DDE8CC8" w14:textId="77777777" w:rsidR="000D480E" w:rsidRDefault="000D480E" w:rsidP="000D480E">
            <w:pPr>
              <w:ind w:firstLine="0"/>
              <w:jc w:val="left"/>
            </w:pPr>
            <w:proofErr w:type="spellStart"/>
            <w:r>
              <w:t>м.п</w:t>
            </w:r>
            <w:proofErr w:type="spellEnd"/>
            <w:r>
              <w:t>.</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F715A" w14:textId="77777777" w:rsidR="003610FC" w:rsidRDefault="003610FC" w:rsidP="00A939B7">
      <w:r>
        <w:separator/>
      </w:r>
    </w:p>
  </w:endnote>
  <w:endnote w:type="continuationSeparator" w:id="0">
    <w:p w14:paraId="7C339D0E" w14:textId="77777777" w:rsidR="003610FC" w:rsidRDefault="003610FC"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19072380"/>
      <w:docPartObj>
        <w:docPartGallery w:val="Page Numbers (Bottom of Page)"/>
        <w:docPartUnique/>
      </w:docPartObj>
    </w:sdtPr>
    <w:sdtEndPr/>
    <w:sdtContent>
      <w:p w14:paraId="189E5B4D" w14:textId="77777777" w:rsidR="00452072" w:rsidRPr="0031068C" w:rsidRDefault="00452072"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827255">
          <w:rPr>
            <w:noProof/>
            <w:sz w:val="20"/>
            <w:szCs w:val="20"/>
          </w:rPr>
          <w:t>12</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C6F98" w14:textId="77777777" w:rsidR="003610FC" w:rsidRDefault="003610FC" w:rsidP="00A939B7">
      <w:r>
        <w:separator/>
      </w:r>
    </w:p>
  </w:footnote>
  <w:footnote w:type="continuationSeparator" w:id="0">
    <w:p w14:paraId="060777EA" w14:textId="77777777" w:rsidR="003610FC" w:rsidRDefault="003610FC"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377CC"/>
    <w:rsid w:val="000403D2"/>
    <w:rsid w:val="00054699"/>
    <w:rsid w:val="00056A4D"/>
    <w:rsid w:val="00060B2F"/>
    <w:rsid w:val="000650C6"/>
    <w:rsid w:val="00076DDE"/>
    <w:rsid w:val="000777E7"/>
    <w:rsid w:val="00085D2F"/>
    <w:rsid w:val="000947E6"/>
    <w:rsid w:val="000A3BB3"/>
    <w:rsid w:val="000B0969"/>
    <w:rsid w:val="000B7B2C"/>
    <w:rsid w:val="000C217E"/>
    <w:rsid w:val="000C2B5C"/>
    <w:rsid w:val="000C728C"/>
    <w:rsid w:val="000D1C6B"/>
    <w:rsid w:val="000D480E"/>
    <w:rsid w:val="000E2C45"/>
    <w:rsid w:val="000F1E64"/>
    <w:rsid w:val="000F62BE"/>
    <w:rsid w:val="000F6A7A"/>
    <w:rsid w:val="001114B2"/>
    <w:rsid w:val="001119D7"/>
    <w:rsid w:val="00124090"/>
    <w:rsid w:val="00124A1E"/>
    <w:rsid w:val="00133C9D"/>
    <w:rsid w:val="00137653"/>
    <w:rsid w:val="00155F98"/>
    <w:rsid w:val="0015731C"/>
    <w:rsid w:val="00161421"/>
    <w:rsid w:val="00165072"/>
    <w:rsid w:val="00167E1F"/>
    <w:rsid w:val="001830CF"/>
    <w:rsid w:val="0018712A"/>
    <w:rsid w:val="001A34A3"/>
    <w:rsid w:val="001A6CF7"/>
    <w:rsid w:val="001B1EDA"/>
    <w:rsid w:val="001B41D8"/>
    <w:rsid w:val="001B7169"/>
    <w:rsid w:val="001C27E2"/>
    <w:rsid w:val="001C3121"/>
    <w:rsid w:val="001C33E9"/>
    <w:rsid w:val="001E18E1"/>
    <w:rsid w:val="001E417A"/>
    <w:rsid w:val="001F7305"/>
    <w:rsid w:val="002015DA"/>
    <w:rsid w:val="00220894"/>
    <w:rsid w:val="00226723"/>
    <w:rsid w:val="00232BFE"/>
    <w:rsid w:val="00236C7E"/>
    <w:rsid w:val="00240336"/>
    <w:rsid w:val="00241056"/>
    <w:rsid w:val="00241BCD"/>
    <w:rsid w:val="0024438B"/>
    <w:rsid w:val="0026463C"/>
    <w:rsid w:val="00265B0F"/>
    <w:rsid w:val="00272729"/>
    <w:rsid w:val="00275BA6"/>
    <w:rsid w:val="00284649"/>
    <w:rsid w:val="00295C0B"/>
    <w:rsid w:val="002A4E9E"/>
    <w:rsid w:val="002C2F17"/>
    <w:rsid w:val="002C3AB3"/>
    <w:rsid w:val="002C7BDD"/>
    <w:rsid w:val="002D5874"/>
    <w:rsid w:val="002F388A"/>
    <w:rsid w:val="0031068C"/>
    <w:rsid w:val="00340FB4"/>
    <w:rsid w:val="003470AE"/>
    <w:rsid w:val="003610FC"/>
    <w:rsid w:val="003961D0"/>
    <w:rsid w:val="003B0C7B"/>
    <w:rsid w:val="003C563A"/>
    <w:rsid w:val="003E73DC"/>
    <w:rsid w:val="003F2F4C"/>
    <w:rsid w:val="004026EC"/>
    <w:rsid w:val="00411DE5"/>
    <w:rsid w:val="004210D0"/>
    <w:rsid w:val="00421C99"/>
    <w:rsid w:val="00422543"/>
    <w:rsid w:val="004269B4"/>
    <w:rsid w:val="00427896"/>
    <w:rsid w:val="004334C4"/>
    <w:rsid w:val="00444934"/>
    <w:rsid w:val="00452072"/>
    <w:rsid w:val="0045372A"/>
    <w:rsid w:val="004627B7"/>
    <w:rsid w:val="00464013"/>
    <w:rsid w:val="004925DB"/>
    <w:rsid w:val="004932C4"/>
    <w:rsid w:val="004A24D2"/>
    <w:rsid w:val="004B466E"/>
    <w:rsid w:val="004C5FE9"/>
    <w:rsid w:val="004E5C29"/>
    <w:rsid w:val="004F4E69"/>
    <w:rsid w:val="00503070"/>
    <w:rsid w:val="00510433"/>
    <w:rsid w:val="00514EA4"/>
    <w:rsid w:val="00516E56"/>
    <w:rsid w:val="0052359C"/>
    <w:rsid w:val="00523868"/>
    <w:rsid w:val="00530226"/>
    <w:rsid w:val="00537A79"/>
    <w:rsid w:val="005414F1"/>
    <w:rsid w:val="0054740D"/>
    <w:rsid w:val="00547DE7"/>
    <w:rsid w:val="00547ECF"/>
    <w:rsid w:val="005502C2"/>
    <w:rsid w:val="00550932"/>
    <w:rsid w:val="005535DF"/>
    <w:rsid w:val="00554D4D"/>
    <w:rsid w:val="00566E88"/>
    <w:rsid w:val="00567991"/>
    <w:rsid w:val="00570E7A"/>
    <w:rsid w:val="005763FC"/>
    <w:rsid w:val="005816A3"/>
    <w:rsid w:val="00590D4A"/>
    <w:rsid w:val="005A531C"/>
    <w:rsid w:val="005B2EC5"/>
    <w:rsid w:val="005C38D0"/>
    <w:rsid w:val="005D029D"/>
    <w:rsid w:val="005D29F8"/>
    <w:rsid w:val="005D355A"/>
    <w:rsid w:val="005E03A8"/>
    <w:rsid w:val="005F223C"/>
    <w:rsid w:val="0060224F"/>
    <w:rsid w:val="00605261"/>
    <w:rsid w:val="0061114A"/>
    <w:rsid w:val="00622E97"/>
    <w:rsid w:val="00631991"/>
    <w:rsid w:val="00632AA2"/>
    <w:rsid w:val="00642FA8"/>
    <w:rsid w:val="00650519"/>
    <w:rsid w:val="0065148A"/>
    <w:rsid w:val="00656828"/>
    <w:rsid w:val="00660263"/>
    <w:rsid w:val="00670F77"/>
    <w:rsid w:val="006757E5"/>
    <w:rsid w:val="00693F59"/>
    <w:rsid w:val="00697C14"/>
    <w:rsid w:val="006A58CA"/>
    <w:rsid w:val="006B192C"/>
    <w:rsid w:val="006B51AD"/>
    <w:rsid w:val="006C4627"/>
    <w:rsid w:val="006C78C4"/>
    <w:rsid w:val="006D44E6"/>
    <w:rsid w:val="006E139D"/>
    <w:rsid w:val="006F578B"/>
    <w:rsid w:val="006F789B"/>
    <w:rsid w:val="007036A2"/>
    <w:rsid w:val="00704CC0"/>
    <w:rsid w:val="00705958"/>
    <w:rsid w:val="00705FBF"/>
    <w:rsid w:val="00706A57"/>
    <w:rsid w:val="007126FF"/>
    <w:rsid w:val="0076278D"/>
    <w:rsid w:val="00764FCC"/>
    <w:rsid w:val="007671DB"/>
    <w:rsid w:val="0077606B"/>
    <w:rsid w:val="00791459"/>
    <w:rsid w:val="00796BA4"/>
    <w:rsid w:val="007A63D8"/>
    <w:rsid w:val="007B212D"/>
    <w:rsid w:val="007C4A98"/>
    <w:rsid w:val="007E255C"/>
    <w:rsid w:val="007F1D20"/>
    <w:rsid w:val="007F3B85"/>
    <w:rsid w:val="00810AB3"/>
    <w:rsid w:val="0081574A"/>
    <w:rsid w:val="0081792D"/>
    <w:rsid w:val="00827255"/>
    <w:rsid w:val="00832776"/>
    <w:rsid w:val="00856135"/>
    <w:rsid w:val="0085779A"/>
    <w:rsid w:val="00861E48"/>
    <w:rsid w:val="008643D2"/>
    <w:rsid w:val="008712DE"/>
    <w:rsid w:val="008731A6"/>
    <w:rsid w:val="008772A4"/>
    <w:rsid w:val="008828A4"/>
    <w:rsid w:val="00886CEA"/>
    <w:rsid w:val="00891443"/>
    <w:rsid w:val="008A6BAB"/>
    <w:rsid w:val="008C5FD8"/>
    <w:rsid w:val="008D699B"/>
    <w:rsid w:val="008E533D"/>
    <w:rsid w:val="00902C8C"/>
    <w:rsid w:val="0091300F"/>
    <w:rsid w:val="00936126"/>
    <w:rsid w:val="00941CF7"/>
    <w:rsid w:val="009530F5"/>
    <w:rsid w:val="00955AA2"/>
    <w:rsid w:val="0095726D"/>
    <w:rsid w:val="009618AA"/>
    <w:rsid w:val="0096605B"/>
    <w:rsid w:val="00975B8B"/>
    <w:rsid w:val="009761D1"/>
    <w:rsid w:val="00977719"/>
    <w:rsid w:val="009A4696"/>
    <w:rsid w:val="009C5B3A"/>
    <w:rsid w:val="009D64F7"/>
    <w:rsid w:val="009F099D"/>
    <w:rsid w:val="009F207D"/>
    <w:rsid w:val="009F472A"/>
    <w:rsid w:val="00A017E4"/>
    <w:rsid w:val="00A0399D"/>
    <w:rsid w:val="00A04D71"/>
    <w:rsid w:val="00A31A6B"/>
    <w:rsid w:val="00A36A44"/>
    <w:rsid w:val="00A41EE6"/>
    <w:rsid w:val="00A42E9F"/>
    <w:rsid w:val="00A45D8F"/>
    <w:rsid w:val="00A47E54"/>
    <w:rsid w:val="00A53DFC"/>
    <w:rsid w:val="00A61E6C"/>
    <w:rsid w:val="00A6777A"/>
    <w:rsid w:val="00A72322"/>
    <w:rsid w:val="00A76122"/>
    <w:rsid w:val="00A76479"/>
    <w:rsid w:val="00A77077"/>
    <w:rsid w:val="00A92835"/>
    <w:rsid w:val="00A939B7"/>
    <w:rsid w:val="00A97963"/>
    <w:rsid w:val="00AA07F9"/>
    <w:rsid w:val="00AB46E9"/>
    <w:rsid w:val="00AB749C"/>
    <w:rsid w:val="00AC7C05"/>
    <w:rsid w:val="00AE0108"/>
    <w:rsid w:val="00AE0C4F"/>
    <w:rsid w:val="00AE255F"/>
    <w:rsid w:val="00AE4C47"/>
    <w:rsid w:val="00AE72DC"/>
    <w:rsid w:val="00AE7F96"/>
    <w:rsid w:val="00AF0F9D"/>
    <w:rsid w:val="00AF426E"/>
    <w:rsid w:val="00AF697D"/>
    <w:rsid w:val="00B107DA"/>
    <w:rsid w:val="00B37B0A"/>
    <w:rsid w:val="00B474FE"/>
    <w:rsid w:val="00B47786"/>
    <w:rsid w:val="00B633BB"/>
    <w:rsid w:val="00B708C4"/>
    <w:rsid w:val="00B81F08"/>
    <w:rsid w:val="00BB1DFE"/>
    <w:rsid w:val="00BB2B4B"/>
    <w:rsid w:val="00BC3B32"/>
    <w:rsid w:val="00BC4A48"/>
    <w:rsid w:val="00BD5299"/>
    <w:rsid w:val="00BD5D84"/>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F79DE"/>
    <w:rsid w:val="00D174AD"/>
    <w:rsid w:val="00D2322A"/>
    <w:rsid w:val="00D2506F"/>
    <w:rsid w:val="00D27710"/>
    <w:rsid w:val="00D32DFC"/>
    <w:rsid w:val="00D34AB0"/>
    <w:rsid w:val="00D458CE"/>
    <w:rsid w:val="00D50755"/>
    <w:rsid w:val="00D50C39"/>
    <w:rsid w:val="00D56C22"/>
    <w:rsid w:val="00D73B6C"/>
    <w:rsid w:val="00D960D6"/>
    <w:rsid w:val="00DA2287"/>
    <w:rsid w:val="00DA26DF"/>
    <w:rsid w:val="00DA4D3B"/>
    <w:rsid w:val="00DB3ABE"/>
    <w:rsid w:val="00DC63E9"/>
    <w:rsid w:val="00DE426A"/>
    <w:rsid w:val="00DE7A3B"/>
    <w:rsid w:val="00E23171"/>
    <w:rsid w:val="00E2673D"/>
    <w:rsid w:val="00E26E81"/>
    <w:rsid w:val="00E305D8"/>
    <w:rsid w:val="00E329CE"/>
    <w:rsid w:val="00E36EE8"/>
    <w:rsid w:val="00E5577C"/>
    <w:rsid w:val="00E56F5B"/>
    <w:rsid w:val="00E73F41"/>
    <w:rsid w:val="00E751AE"/>
    <w:rsid w:val="00E86BC9"/>
    <w:rsid w:val="00E90225"/>
    <w:rsid w:val="00E9364F"/>
    <w:rsid w:val="00E97798"/>
    <w:rsid w:val="00E97BE6"/>
    <w:rsid w:val="00EA5065"/>
    <w:rsid w:val="00EA7D7C"/>
    <w:rsid w:val="00EB455C"/>
    <w:rsid w:val="00EB4EA3"/>
    <w:rsid w:val="00EC308C"/>
    <w:rsid w:val="00ED2566"/>
    <w:rsid w:val="00EE4E9B"/>
    <w:rsid w:val="00EE5E7D"/>
    <w:rsid w:val="00EF3306"/>
    <w:rsid w:val="00F01B1A"/>
    <w:rsid w:val="00F033A2"/>
    <w:rsid w:val="00F138E2"/>
    <w:rsid w:val="00F14E8B"/>
    <w:rsid w:val="00F163FC"/>
    <w:rsid w:val="00F26CD6"/>
    <w:rsid w:val="00F31EF5"/>
    <w:rsid w:val="00F516C1"/>
    <w:rsid w:val="00F64EC7"/>
    <w:rsid w:val="00F66A82"/>
    <w:rsid w:val="00F676A3"/>
    <w:rsid w:val="00F74E25"/>
    <w:rsid w:val="00F77C5E"/>
    <w:rsid w:val="00F85D7A"/>
    <w:rsid w:val="00FA199B"/>
    <w:rsid w:val="00FB1EED"/>
    <w:rsid w:val="00FB3DEA"/>
    <w:rsid w:val="00FB7477"/>
    <w:rsid w:val="00FC3F23"/>
    <w:rsid w:val="00FC7ACC"/>
    <w:rsid w:val="00FD6119"/>
    <w:rsid w:val="00FE5C2B"/>
    <w:rsid w:val="00FF0068"/>
    <w:rsid w:val="00FF3921"/>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96CA6"/>
  <w15:chartTrackingRefBased/>
  <w15:docId w15:val="{847D07CC-5FEC-4671-90A9-A1E6B0BA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9A96AFC460150870335FA46A6821567BFB35DE6F133469ADD43A9A9EB9FE286C39479C69F3ED4789E0956D08C65FB46C763C805AC596520r0D" TargetMode="External"/><Relationship Id="rId13" Type="http://schemas.openxmlformats.org/officeDocument/2006/relationships/hyperlink" Target="http://www.bge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739E68DD7641A1E6712499F4A3D7D261B3A6F3C3BA75EB199D6C3C8AB6935C547E352404E7EBsB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CE50E65485854E0924C8B18D2D9BA0933A7D9A64066022B482E1E16560EBB9FE3B2B98876E7EAF310E9E18886AB031D8FD2BC53A6180F77Z0C" TargetMode="External"/><Relationship Id="rId5" Type="http://schemas.openxmlformats.org/officeDocument/2006/relationships/webSettings" Target="webSettings.xml"/><Relationship Id="rId15" Type="http://schemas.openxmlformats.org/officeDocument/2006/relationships/hyperlink" Target="http://www.bsk22.ru" TargetMode="External"/><Relationship Id="rId10" Type="http://schemas.openxmlformats.org/officeDocument/2006/relationships/hyperlink" Target="consultantplus://offline/ref=C28AF1642DF1A3FAD5D8CF8E233D0A73D4797A328A2A04161E5CC30C0C133B2788B335BED46A668A6C45820E332E800AD369801DA465CEC2kAk0C" TargetMode="External"/><Relationship Id="rId4" Type="http://schemas.openxmlformats.org/officeDocument/2006/relationships/settings" Target="settings.xml"/><Relationship Id="rId9" Type="http://schemas.openxmlformats.org/officeDocument/2006/relationships/hyperlink" Target="consultantplus://offline/ref=B026F724BE3B81B34FD548BF6887EF818CE942E9CA37E56345B464BEA28A54DADDD3E423691A058809C07AC892F4C65DA9ADD9F665BF7D73fC06D" TargetMode="External"/><Relationship Id="rId14" Type="http://schemas.openxmlformats.org/officeDocument/2006/relationships/hyperlink" Target="mailto:meter@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65D2-3A3F-4FC4-91ED-B0C71E3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8839</Words>
  <Characters>50384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17</cp:revision>
  <cp:lastPrinted>2020-07-29T09:44:00Z</cp:lastPrinted>
  <dcterms:created xsi:type="dcterms:W3CDTF">2020-07-31T04:00:00Z</dcterms:created>
  <dcterms:modified xsi:type="dcterms:W3CDTF">2020-07-31T07:43:00Z</dcterms:modified>
</cp:coreProperties>
</file>